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1D788" w14:textId="77777777" w:rsidR="00407FF2" w:rsidRPr="00407FF2" w:rsidRDefault="00407FF2" w:rsidP="00407FF2">
      <w:pPr>
        <w:spacing w:after="0"/>
        <w:rPr>
          <w:b/>
          <w:bCs/>
          <w:sz w:val="24"/>
          <w:szCs w:val="24"/>
        </w:rPr>
      </w:pPr>
      <w:r w:rsidRPr="00407FF2">
        <w:rPr>
          <w:b/>
          <w:bCs/>
          <w:sz w:val="24"/>
          <w:szCs w:val="24"/>
        </w:rPr>
        <w:t>Overview of Food Banks Canada National Standards of Excellence:</w:t>
      </w:r>
    </w:p>
    <w:p w14:paraId="4D263A4C" w14:textId="77777777" w:rsidR="00407FF2" w:rsidRDefault="00407FF2" w:rsidP="00407FF2">
      <w:pPr>
        <w:spacing w:after="0"/>
        <w:rPr>
          <w:b/>
          <w:bCs/>
        </w:rPr>
      </w:pPr>
    </w:p>
    <w:p w14:paraId="54FE8D6D" w14:textId="5AECA128" w:rsidR="00934EBC" w:rsidRDefault="00934EBC" w:rsidP="00934EBC">
      <w:pPr>
        <w:pStyle w:val="Default"/>
        <w:rPr>
          <w:color w:val="auto"/>
          <w:sz w:val="22"/>
          <w:szCs w:val="22"/>
        </w:rPr>
      </w:pPr>
      <w:r>
        <w:rPr>
          <w:b/>
          <w:bCs/>
          <w:color w:val="auto"/>
          <w:sz w:val="22"/>
          <w:szCs w:val="22"/>
        </w:rPr>
        <w:t xml:space="preserve">What are the Food Banks Canada Standards of Excellence? </w:t>
      </w:r>
    </w:p>
    <w:p w14:paraId="44847FBD" w14:textId="77777777" w:rsidR="00934EBC" w:rsidRPr="00934EBC" w:rsidRDefault="00934EBC" w:rsidP="00934EBC">
      <w:pPr>
        <w:pStyle w:val="Default"/>
        <w:rPr>
          <w:color w:val="auto"/>
          <w:sz w:val="20"/>
          <w:szCs w:val="20"/>
        </w:rPr>
      </w:pPr>
      <w:r w:rsidRPr="00934EBC">
        <w:rPr>
          <w:color w:val="auto"/>
          <w:sz w:val="20"/>
          <w:szCs w:val="20"/>
        </w:rPr>
        <w:t xml:space="preserve">Food Banks Canada Standards of Excellence is the framework that will set the foundation for the network to thrive. The standards cover six key areas regarded as fundamental to enable the food banking network’s proficiency to provide best service delivery to communities, these include: </w:t>
      </w:r>
    </w:p>
    <w:p w14:paraId="2A255A24" w14:textId="25A39172" w:rsidR="00934EBC" w:rsidRPr="00934EBC" w:rsidRDefault="00934EBC" w:rsidP="00934EBC">
      <w:pPr>
        <w:pStyle w:val="Default"/>
        <w:numPr>
          <w:ilvl w:val="0"/>
          <w:numId w:val="1"/>
        </w:numPr>
        <w:spacing w:after="34"/>
        <w:rPr>
          <w:color w:val="auto"/>
          <w:sz w:val="20"/>
          <w:szCs w:val="20"/>
        </w:rPr>
      </w:pPr>
      <w:r w:rsidRPr="00934EBC">
        <w:rPr>
          <w:color w:val="auto"/>
          <w:sz w:val="20"/>
          <w:szCs w:val="20"/>
        </w:rPr>
        <w:t xml:space="preserve"> Governance &amp; Administration </w:t>
      </w:r>
    </w:p>
    <w:p w14:paraId="75FFE0CE" w14:textId="178EA6FC" w:rsidR="00934EBC" w:rsidRPr="00934EBC" w:rsidRDefault="00934EBC" w:rsidP="00934EBC">
      <w:pPr>
        <w:pStyle w:val="Default"/>
        <w:numPr>
          <w:ilvl w:val="0"/>
          <w:numId w:val="1"/>
        </w:numPr>
        <w:spacing w:after="34"/>
        <w:rPr>
          <w:color w:val="auto"/>
          <w:sz w:val="20"/>
          <w:szCs w:val="20"/>
        </w:rPr>
      </w:pPr>
      <w:r w:rsidRPr="00934EBC">
        <w:rPr>
          <w:color w:val="auto"/>
          <w:sz w:val="20"/>
          <w:szCs w:val="20"/>
        </w:rPr>
        <w:t xml:space="preserve"> People Management </w:t>
      </w:r>
    </w:p>
    <w:p w14:paraId="746034D8" w14:textId="476EE5F2" w:rsidR="00934EBC" w:rsidRPr="00934EBC" w:rsidRDefault="00934EBC" w:rsidP="00934EBC">
      <w:pPr>
        <w:pStyle w:val="Default"/>
        <w:numPr>
          <w:ilvl w:val="0"/>
          <w:numId w:val="1"/>
        </w:numPr>
        <w:spacing w:after="34"/>
        <w:rPr>
          <w:color w:val="auto"/>
          <w:sz w:val="20"/>
          <w:szCs w:val="20"/>
        </w:rPr>
      </w:pPr>
      <w:r w:rsidRPr="00934EBC">
        <w:rPr>
          <w:color w:val="auto"/>
          <w:sz w:val="20"/>
          <w:szCs w:val="20"/>
        </w:rPr>
        <w:t xml:space="preserve"> Financial &amp; Legal </w:t>
      </w:r>
    </w:p>
    <w:p w14:paraId="29D845F8" w14:textId="38AB0CD2" w:rsidR="00934EBC" w:rsidRPr="00934EBC" w:rsidRDefault="00934EBC" w:rsidP="00934EBC">
      <w:pPr>
        <w:pStyle w:val="Default"/>
        <w:numPr>
          <w:ilvl w:val="0"/>
          <w:numId w:val="1"/>
        </w:numPr>
        <w:spacing w:after="34"/>
        <w:rPr>
          <w:color w:val="auto"/>
          <w:sz w:val="20"/>
          <w:szCs w:val="20"/>
        </w:rPr>
      </w:pPr>
      <w:r w:rsidRPr="00934EBC">
        <w:rPr>
          <w:color w:val="auto"/>
          <w:sz w:val="20"/>
          <w:szCs w:val="20"/>
        </w:rPr>
        <w:t xml:space="preserve"> Client Service &amp; Care </w:t>
      </w:r>
    </w:p>
    <w:p w14:paraId="0E4E6DD9" w14:textId="77777777" w:rsidR="0093590B" w:rsidRDefault="00934EBC" w:rsidP="0093590B">
      <w:pPr>
        <w:pStyle w:val="Default"/>
        <w:numPr>
          <w:ilvl w:val="0"/>
          <w:numId w:val="1"/>
        </w:numPr>
        <w:spacing w:after="34"/>
        <w:rPr>
          <w:color w:val="auto"/>
          <w:sz w:val="20"/>
          <w:szCs w:val="20"/>
        </w:rPr>
      </w:pPr>
      <w:r w:rsidRPr="00934EBC">
        <w:rPr>
          <w:color w:val="auto"/>
          <w:sz w:val="20"/>
          <w:szCs w:val="20"/>
        </w:rPr>
        <w:t xml:space="preserve"> Public Engagement &amp; Fundraising </w:t>
      </w:r>
    </w:p>
    <w:p w14:paraId="7EF19D68" w14:textId="0605244E" w:rsidR="00407FF2" w:rsidRPr="0093590B" w:rsidRDefault="00934EBC" w:rsidP="0093590B">
      <w:pPr>
        <w:pStyle w:val="Default"/>
        <w:numPr>
          <w:ilvl w:val="0"/>
          <w:numId w:val="1"/>
        </w:numPr>
        <w:spacing w:after="34"/>
        <w:rPr>
          <w:color w:val="auto"/>
          <w:sz w:val="20"/>
          <w:szCs w:val="20"/>
        </w:rPr>
      </w:pPr>
      <w:r w:rsidRPr="0093590B">
        <w:rPr>
          <w:color w:val="auto"/>
          <w:sz w:val="20"/>
          <w:szCs w:val="20"/>
        </w:rPr>
        <w:t xml:space="preserve">Food Operations &amp; Food Safety </w:t>
      </w:r>
    </w:p>
    <w:p w14:paraId="5B8224D0" w14:textId="77777777" w:rsidR="00934EBC" w:rsidRDefault="00934EBC" w:rsidP="00934EBC">
      <w:pPr>
        <w:pStyle w:val="Default"/>
        <w:rPr>
          <w:color w:val="auto"/>
          <w:sz w:val="20"/>
          <w:szCs w:val="20"/>
        </w:rPr>
      </w:pPr>
    </w:p>
    <w:p w14:paraId="2F0F523F" w14:textId="12FB8765" w:rsidR="00934EBC" w:rsidRDefault="00934EBC" w:rsidP="00934EBC">
      <w:pPr>
        <w:pStyle w:val="Default"/>
        <w:rPr>
          <w:color w:val="auto"/>
          <w:sz w:val="22"/>
          <w:szCs w:val="22"/>
        </w:rPr>
      </w:pPr>
      <w:r>
        <w:rPr>
          <w:b/>
          <w:bCs/>
          <w:color w:val="auto"/>
          <w:sz w:val="22"/>
          <w:szCs w:val="22"/>
        </w:rPr>
        <w:t xml:space="preserve">Why were the Food Banks Canada Standards of Excellence created? </w:t>
      </w:r>
    </w:p>
    <w:p w14:paraId="79D30CA1" w14:textId="77777777" w:rsidR="00934EBC" w:rsidRPr="00934EBC" w:rsidRDefault="00934EBC" w:rsidP="00934EBC">
      <w:pPr>
        <w:pStyle w:val="Default"/>
        <w:rPr>
          <w:color w:val="auto"/>
          <w:sz w:val="20"/>
          <w:szCs w:val="20"/>
        </w:rPr>
      </w:pPr>
      <w:r w:rsidRPr="00934EBC">
        <w:rPr>
          <w:color w:val="auto"/>
          <w:sz w:val="20"/>
          <w:szCs w:val="20"/>
        </w:rPr>
        <w:t xml:space="preserve">The food banking network has long acknowledged a need for the development of a set of standards that would create performance benchmarks of a well-run organization, while promoting transparency and accountability to the public. The standards are not intended to be punitive but rather to focus on continuous improvement across the network. </w:t>
      </w:r>
    </w:p>
    <w:p w14:paraId="6C0FFE47" w14:textId="77777777" w:rsidR="00934EBC" w:rsidRDefault="00934EBC" w:rsidP="00934EBC">
      <w:pPr>
        <w:pStyle w:val="Default"/>
        <w:rPr>
          <w:b/>
          <w:bCs/>
          <w:color w:val="auto"/>
          <w:sz w:val="22"/>
          <w:szCs w:val="22"/>
        </w:rPr>
      </w:pPr>
    </w:p>
    <w:p w14:paraId="30988336" w14:textId="5685F4DF" w:rsidR="00934EBC" w:rsidRDefault="00934EBC" w:rsidP="00934EBC">
      <w:pPr>
        <w:pStyle w:val="Default"/>
        <w:rPr>
          <w:color w:val="auto"/>
          <w:sz w:val="22"/>
          <w:szCs w:val="22"/>
        </w:rPr>
      </w:pPr>
      <w:r>
        <w:rPr>
          <w:b/>
          <w:bCs/>
          <w:color w:val="auto"/>
          <w:sz w:val="22"/>
          <w:szCs w:val="22"/>
        </w:rPr>
        <w:t xml:space="preserve">How were the Food Banks Canada Standards of Excellence created? </w:t>
      </w:r>
    </w:p>
    <w:p w14:paraId="65EE78DE" w14:textId="529CBD4C" w:rsidR="00934EBC" w:rsidRPr="00934EBC" w:rsidRDefault="00934EBC" w:rsidP="00934EBC">
      <w:pPr>
        <w:pStyle w:val="Default"/>
        <w:rPr>
          <w:color w:val="auto"/>
          <w:sz w:val="20"/>
          <w:szCs w:val="20"/>
        </w:rPr>
      </w:pPr>
      <w:r w:rsidRPr="00934EBC">
        <w:rPr>
          <w:color w:val="auto"/>
          <w:sz w:val="20"/>
          <w:szCs w:val="20"/>
        </w:rPr>
        <w:t xml:space="preserve">Through a lengthy and in-depth process, involving a National Standards Committee, the Food Banks Canada Board, Provincial Associations and pilot participants, the standards were developed, reviewed, and tested. </w:t>
      </w:r>
    </w:p>
    <w:p w14:paraId="1C8B9EC5" w14:textId="77777777" w:rsidR="00934EBC" w:rsidRDefault="00934EBC" w:rsidP="00934EBC">
      <w:pPr>
        <w:pStyle w:val="Default"/>
        <w:rPr>
          <w:b/>
          <w:bCs/>
          <w:color w:val="auto"/>
          <w:sz w:val="22"/>
          <w:szCs w:val="22"/>
        </w:rPr>
      </w:pPr>
    </w:p>
    <w:p w14:paraId="089FDD14" w14:textId="3C9ADFE1" w:rsidR="00934EBC" w:rsidRDefault="00934EBC" w:rsidP="00934EBC">
      <w:pPr>
        <w:pStyle w:val="Default"/>
        <w:rPr>
          <w:color w:val="auto"/>
          <w:sz w:val="22"/>
          <w:szCs w:val="22"/>
        </w:rPr>
      </w:pPr>
      <w:r>
        <w:rPr>
          <w:b/>
          <w:bCs/>
          <w:color w:val="auto"/>
          <w:sz w:val="22"/>
          <w:szCs w:val="22"/>
        </w:rPr>
        <w:t xml:space="preserve">How were the Food Banks Canada Standards of Excellence tested? </w:t>
      </w:r>
    </w:p>
    <w:p w14:paraId="77F1087A" w14:textId="2BFE2A02" w:rsidR="00934EBC" w:rsidRPr="00934EBC" w:rsidRDefault="00934EBC" w:rsidP="00934EBC">
      <w:pPr>
        <w:pStyle w:val="Default"/>
        <w:rPr>
          <w:color w:val="auto"/>
          <w:sz w:val="20"/>
          <w:szCs w:val="20"/>
        </w:rPr>
      </w:pPr>
      <w:r w:rsidRPr="00934EBC">
        <w:rPr>
          <w:color w:val="auto"/>
          <w:sz w:val="20"/>
          <w:szCs w:val="20"/>
        </w:rPr>
        <w:t xml:space="preserve">35 organizations signed up to be involved in piloting the standards, 10 Provincial Associations and 25 food banks. These 25 food banks included representatives from every province and included a mix of small, medium, and large organizations. All pilot participants were given the opportunity to provide feedback which led to a number of changes to the standards as well as identifying areas where greater support is needed. </w:t>
      </w:r>
    </w:p>
    <w:p w14:paraId="1FF1BA36" w14:textId="77777777" w:rsidR="00934EBC" w:rsidRDefault="00934EBC" w:rsidP="00934EBC">
      <w:pPr>
        <w:pStyle w:val="Default"/>
        <w:rPr>
          <w:b/>
          <w:bCs/>
          <w:color w:val="auto"/>
          <w:sz w:val="22"/>
          <w:szCs w:val="22"/>
        </w:rPr>
      </w:pPr>
    </w:p>
    <w:p w14:paraId="74DF23B5" w14:textId="3356B1DA" w:rsidR="00934EBC" w:rsidRDefault="00934EBC" w:rsidP="00934EBC">
      <w:pPr>
        <w:pStyle w:val="Default"/>
        <w:rPr>
          <w:color w:val="auto"/>
          <w:sz w:val="22"/>
          <w:szCs w:val="22"/>
        </w:rPr>
      </w:pPr>
      <w:r>
        <w:rPr>
          <w:b/>
          <w:bCs/>
          <w:color w:val="auto"/>
          <w:sz w:val="22"/>
          <w:szCs w:val="22"/>
        </w:rPr>
        <w:t xml:space="preserve">Who has to complete the Standards of Excellence? </w:t>
      </w:r>
    </w:p>
    <w:p w14:paraId="4CA5D592" w14:textId="2F69CC78" w:rsidR="00934EBC" w:rsidRPr="00934EBC" w:rsidRDefault="00934EBC" w:rsidP="00934EBC">
      <w:pPr>
        <w:pStyle w:val="Default"/>
        <w:rPr>
          <w:color w:val="auto"/>
          <w:sz w:val="18"/>
          <w:szCs w:val="18"/>
        </w:rPr>
      </w:pPr>
      <w:r w:rsidRPr="00934EBC">
        <w:rPr>
          <w:color w:val="auto"/>
          <w:sz w:val="20"/>
          <w:szCs w:val="20"/>
        </w:rPr>
        <w:t>All food banks within Food Banks Canada network. The Standards of Excellence are voluntary for First Nation and territorial food banks.</w:t>
      </w:r>
    </w:p>
    <w:p w14:paraId="2913736D" w14:textId="77777777" w:rsidR="00934EBC" w:rsidRPr="00934EBC" w:rsidRDefault="00934EBC" w:rsidP="00934EBC">
      <w:pPr>
        <w:pStyle w:val="Default"/>
        <w:rPr>
          <w:color w:val="auto"/>
          <w:sz w:val="20"/>
          <w:szCs w:val="20"/>
        </w:rPr>
      </w:pPr>
    </w:p>
    <w:p w14:paraId="0F242340" w14:textId="10A0ABF5" w:rsidR="00407FF2" w:rsidRPr="00942777" w:rsidRDefault="00407FF2" w:rsidP="00934EBC">
      <w:pPr>
        <w:spacing w:after="0"/>
        <w:rPr>
          <w:b/>
          <w:bCs/>
        </w:rPr>
      </w:pPr>
      <w:r w:rsidRPr="00942777">
        <w:rPr>
          <w:b/>
          <w:bCs/>
        </w:rPr>
        <w:t>The Accreditation Process:</w:t>
      </w:r>
    </w:p>
    <w:p w14:paraId="6E8B38B7" w14:textId="77777777" w:rsidR="00407FF2" w:rsidRPr="00407FF2" w:rsidRDefault="00407FF2" w:rsidP="00934EBC">
      <w:pPr>
        <w:numPr>
          <w:ilvl w:val="0"/>
          <w:numId w:val="4"/>
        </w:numPr>
        <w:spacing w:after="0"/>
        <w:rPr>
          <w:sz w:val="20"/>
          <w:szCs w:val="20"/>
        </w:rPr>
      </w:pPr>
      <w:r w:rsidRPr="00407FF2">
        <w:rPr>
          <w:sz w:val="20"/>
          <w:szCs w:val="20"/>
          <w:lang w:val="en-US"/>
        </w:rPr>
        <w:t xml:space="preserve">All affiliates will be required to participate as of January 2024, with the goal of having the majority of the network accredited by March 2025. </w:t>
      </w:r>
    </w:p>
    <w:p w14:paraId="6E0BB8D7" w14:textId="77777777" w:rsidR="00407FF2" w:rsidRPr="00407FF2" w:rsidRDefault="00407FF2" w:rsidP="00407FF2">
      <w:pPr>
        <w:numPr>
          <w:ilvl w:val="0"/>
          <w:numId w:val="4"/>
        </w:numPr>
        <w:spacing w:after="0"/>
        <w:rPr>
          <w:sz w:val="20"/>
          <w:szCs w:val="20"/>
        </w:rPr>
      </w:pPr>
      <w:r w:rsidRPr="00407FF2">
        <w:rPr>
          <w:sz w:val="20"/>
          <w:szCs w:val="20"/>
          <w:lang w:val="en-US"/>
        </w:rPr>
        <w:t xml:space="preserve">Beginning in January 2024, food banks will be able to submit an application through the online Network Portal. Once an application is submitted, it will be reviewed, and a Food Banks Canada representative will follow up on any questions or areas where further work is required. Once a food bank receives accreditation, they will be accredited for five years and required to submit an annual self-review through the Network Portal. </w:t>
      </w:r>
    </w:p>
    <w:p w14:paraId="52BF13C1" w14:textId="77777777" w:rsidR="00407FF2" w:rsidRPr="00407FF2" w:rsidRDefault="00407FF2" w:rsidP="00407FF2">
      <w:pPr>
        <w:numPr>
          <w:ilvl w:val="0"/>
          <w:numId w:val="4"/>
        </w:numPr>
        <w:spacing w:after="0"/>
        <w:rPr>
          <w:sz w:val="20"/>
          <w:szCs w:val="20"/>
        </w:rPr>
      </w:pPr>
      <w:r w:rsidRPr="00407FF2">
        <w:rPr>
          <w:sz w:val="20"/>
          <w:szCs w:val="20"/>
          <w:lang w:val="en-US"/>
        </w:rPr>
        <w:t>Accredited food banks will receive an Accreditation Completion Package that will include the Food Banks Canada Standards of Excellence logo, which the organization can then display proudly throughout the organization and on its website and social media channels. The package will also include information on how to promote accreditation to clients, stakeholders, and the media.”</w:t>
      </w:r>
    </w:p>
    <w:p w14:paraId="0765B280" w14:textId="77777777" w:rsidR="00407FF2" w:rsidRPr="00407FF2" w:rsidRDefault="00407FF2" w:rsidP="00407FF2">
      <w:pPr>
        <w:numPr>
          <w:ilvl w:val="0"/>
          <w:numId w:val="4"/>
        </w:numPr>
        <w:spacing w:after="0"/>
        <w:rPr>
          <w:sz w:val="20"/>
          <w:szCs w:val="20"/>
        </w:rPr>
      </w:pPr>
      <w:r w:rsidRPr="00407FF2">
        <w:rPr>
          <w:sz w:val="20"/>
          <w:szCs w:val="20"/>
          <w:lang w:val="en-US"/>
        </w:rPr>
        <w:t>Accreditation Cycle (5 years)</w:t>
      </w:r>
    </w:p>
    <w:p w14:paraId="637D94BE" w14:textId="77777777" w:rsidR="00407FF2" w:rsidRPr="00407FF2" w:rsidRDefault="00407FF2" w:rsidP="00934EBC">
      <w:pPr>
        <w:numPr>
          <w:ilvl w:val="1"/>
          <w:numId w:val="6"/>
        </w:numPr>
        <w:spacing w:after="0"/>
        <w:rPr>
          <w:sz w:val="20"/>
          <w:szCs w:val="20"/>
        </w:rPr>
      </w:pPr>
      <w:r w:rsidRPr="00407FF2">
        <w:rPr>
          <w:sz w:val="20"/>
          <w:szCs w:val="20"/>
          <w:lang w:val="en-US"/>
        </w:rPr>
        <w:t>Accreditation granted for 5 years, but each food bank will be required to submit a report annually reconfirming it is in compliance with the standards. (no proof required)</w:t>
      </w:r>
    </w:p>
    <w:p w14:paraId="63C0185C" w14:textId="77777777" w:rsidR="00407FF2" w:rsidRPr="00407FF2" w:rsidRDefault="00407FF2" w:rsidP="00934EBC">
      <w:pPr>
        <w:numPr>
          <w:ilvl w:val="1"/>
          <w:numId w:val="6"/>
        </w:numPr>
        <w:spacing w:after="0"/>
        <w:rPr>
          <w:sz w:val="20"/>
          <w:szCs w:val="20"/>
        </w:rPr>
      </w:pPr>
      <w:r w:rsidRPr="00407FF2">
        <w:rPr>
          <w:sz w:val="20"/>
          <w:szCs w:val="20"/>
          <w:lang w:val="en-US"/>
        </w:rPr>
        <w:lastRenderedPageBreak/>
        <w:t>Each year 20-25% of food banks will be required to do a full review. If selected, they would be required to submit all proof points for review. This may include a physical site inspection. (full review would be once every 5 years)</w:t>
      </w:r>
    </w:p>
    <w:p w14:paraId="2F467182" w14:textId="5F0FEF44" w:rsidR="0080390C" w:rsidRPr="00407FF2" w:rsidRDefault="00407FF2" w:rsidP="00934EBC">
      <w:pPr>
        <w:numPr>
          <w:ilvl w:val="1"/>
          <w:numId w:val="6"/>
        </w:numPr>
        <w:spacing w:after="0"/>
        <w:rPr>
          <w:sz w:val="20"/>
          <w:szCs w:val="20"/>
        </w:rPr>
      </w:pPr>
      <w:r w:rsidRPr="00407FF2">
        <w:rPr>
          <w:sz w:val="20"/>
          <w:szCs w:val="20"/>
          <w:lang w:val="en-US"/>
        </w:rPr>
        <w:t>To onboard this accreditation cycle, a number of food banks will be selected for full review in year 1, then year 2, and so forth.</w:t>
      </w:r>
    </w:p>
    <w:p w14:paraId="407E33C5" w14:textId="77777777" w:rsidR="00934EBC" w:rsidRDefault="00934EBC" w:rsidP="00407FF2">
      <w:pPr>
        <w:spacing w:after="0"/>
        <w:rPr>
          <w:sz w:val="20"/>
          <w:szCs w:val="20"/>
        </w:rPr>
      </w:pPr>
    </w:p>
    <w:p w14:paraId="4137A2D9" w14:textId="0B66FE28" w:rsidR="00407FF2" w:rsidRDefault="00D54FD6" w:rsidP="00407FF2">
      <w:r>
        <w:t>If you have any questions, please contact Peter.Thomas@salvationarmy.ca</w:t>
      </w:r>
    </w:p>
    <w:sectPr w:rsidR="00407FF2" w:rsidSect="007B75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bson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C73B2"/>
    <w:multiLevelType w:val="hybridMultilevel"/>
    <w:tmpl w:val="A506853E"/>
    <w:lvl w:ilvl="0" w:tplc="04A6C84E">
      <w:start w:val="1"/>
      <w:numFmt w:val="decimal"/>
      <w:lvlText w:val="%1."/>
      <w:lvlJc w:val="left"/>
      <w:pPr>
        <w:tabs>
          <w:tab w:val="num" w:pos="720"/>
        </w:tabs>
        <w:ind w:left="720" w:hanging="360"/>
      </w:pPr>
    </w:lvl>
    <w:lvl w:ilvl="1" w:tplc="F7869A72" w:tentative="1">
      <w:start w:val="1"/>
      <w:numFmt w:val="decimal"/>
      <w:lvlText w:val="%2."/>
      <w:lvlJc w:val="left"/>
      <w:pPr>
        <w:tabs>
          <w:tab w:val="num" w:pos="1440"/>
        </w:tabs>
        <w:ind w:left="1440" w:hanging="360"/>
      </w:pPr>
    </w:lvl>
    <w:lvl w:ilvl="2" w:tplc="A6A483BE" w:tentative="1">
      <w:start w:val="1"/>
      <w:numFmt w:val="decimal"/>
      <w:lvlText w:val="%3."/>
      <w:lvlJc w:val="left"/>
      <w:pPr>
        <w:tabs>
          <w:tab w:val="num" w:pos="2160"/>
        </w:tabs>
        <w:ind w:left="2160" w:hanging="360"/>
      </w:pPr>
    </w:lvl>
    <w:lvl w:ilvl="3" w:tplc="A154A720" w:tentative="1">
      <w:start w:val="1"/>
      <w:numFmt w:val="decimal"/>
      <w:lvlText w:val="%4."/>
      <w:lvlJc w:val="left"/>
      <w:pPr>
        <w:tabs>
          <w:tab w:val="num" w:pos="2880"/>
        </w:tabs>
        <w:ind w:left="2880" w:hanging="360"/>
      </w:pPr>
    </w:lvl>
    <w:lvl w:ilvl="4" w:tplc="F8AA5522" w:tentative="1">
      <w:start w:val="1"/>
      <w:numFmt w:val="decimal"/>
      <w:lvlText w:val="%5."/>
      <w:lvlJc w:val="left"/>
      <w:pPr>
        <w:tabs>
          <w:tab w:val="num" w:pos="3600"/>
        </w:tabs>
        <w:ind w:left="3600" w:hanging="360"/>
      </w:pPr>
    </w:lvl>
    <w:lvl w:ilvl="5" w:tplc="9022091A" w:tentative="1">
      <w:start w:val="1"/>
      <w:numFmt w:val="decimal"/>
      <w:lvlText w:val="%6."/>
      <w:lvlJc w:val="left"/>
      <w:pPr>
        <w:tabs>
          <w:tab w:val="num" w:pos="4320"/>
        </w:tabs>
        <w:ind w:left="4320" w:hanging="360"/>
      </w:pPr>
    </w:lvl>
    <w:lvl w:ilvl="6" w:tplc="AEEC0FDA" w:tentative="1">
      <w:start w:val="1"/>
      <w:numFmt w:val="decimal"/>
      <w:lvlText w:val="%7."/>
      <w:lvlJc w:val="left"/>
      <w:pPr>
        <w:tabs>
          <w:tab w:val="num" w:pos="5040"/>
        </w:tabs>
        <w:ind w:left="5040" w:hanging="360"/>
      </w:pPr>
    </w:lvl>
    <w:lvl w:ilvl="7" w:tplc="828A4A8A" w:tentative="1">
      <w:start w:val="1"/>
      <w:numFmt w:val="decimal"/>
      <w:lvlText w:val="%8."/>
      <w:lvlJc w:val="left"/>
      <w:pPr>
        <w:tabs>
          <w:tab w:val="num" w:pos="5760"/>
        </w:tabs>
        <w:ind w:left="5760" w:hanging="360"/>
      </w:pPr>
    </w:lvl>
    <w:lvl w:ilvl="8" w:tplc="0F1AD9A8" w:tentative="1">
      <w:start w:val="1"/>
      <w:numFmt w:val="decimal"/>
      <w:lvlText w:val="%9."/>
      <w:lvlJc w:val="left"/>
      <w:pPr>
        <w:tabs>
          <w:tab w:val="num" w:pos="6480"/>
        </w:tabs>
        <w:ind w:left="6480" w:hanging="360"/>
      </w:pPr>
    </w:lvl>
  </w:abstractNum>
  <w:abstractNum w:abstractNumId="1" w15:restartNumberingAfterBreak="0">
    <w:nsid w:val="39232F97"/>
    <w:multiLevelType w:val="hybridMultilevel"/>
    <w:tmpl w:val="F48891B0"/>
    <w:lvl w:ilvl="0" w:tplc="7CAAEAD6">
      <w:start w:val="1"/>
      <w:numFmt w:val="bullet"/>
      <w:lvlText w:val="•"/>
      <w:lvlJc w:val="left"/>
      <w:pPr>
        <w:tabs>
          <w:tab w:val="num" w:pos="720"/>
        </w:tabs>
        <w:ind w:left="720" w:hanging="360"/>
      </w:pPr>
      <w:rPr>
        <w:rFonts w:ascii="Arial" w:hAnsi="Arial" w:hint="default"/>
      </w:rPr>
    </w:lvl>
    <w:lvl w:ilvl="1" w:tplc="D8E2CE32">
      <w:start w:val="1"/>
      <w:numFmt w:val="bullet"/>
      <w:lvlText w:val="•"/>
      <w:lvlJc w:val="left"/>
      <w:pPr>
        <w:tabs>
          <w:tab w:val="num" w:pos="1440"/>
        </w:tabs>
        <w:ind w:left="1440" w:hanging="360"/>
      </w:pPr>
      <w:rPr>
        <w:rFonts w:ascii="Arial" w:hAnsi="Arial" w:hint="default"/>
      </w:rPr>
    </w:lvl>
    <w:lvl w:ilvl="2" w:tplc="CDCC967A" w:tentative="1">
      <w:start w:val="1"/>
      <w:numFmt w:val="bullet"/>
      <w:lvlText w:val="•"/>
      <w:lvlJc w:val="left"/>
      <w:pPr>
        <w:tabs>
          <w:tab w:val="num" w:pos="2160"/>
        </w:tabs>
        <w:ind w:left="2160" w:hanging="360"/>
      </w:pPr>
      <w:rPr>
        <w:rFonts w:ascii="Arial" w:hAnsi="Arial" w:hint="default"/>
      </w:rPr>
    </w:lvl>
    <w:lvl w:ilvl="3" w:tplc="57CEE346" w:tentative="1">
      <w:start w:val="1"/>
      <w:numFmt w:val="bullet"/>
      <w:lvlText w:val="•"/>
      <w:lvlJc w:val="left"/>
      <w:pPr>
        <w:tabs>
          <w:tab w:val="num" w:pos="2880"/>
        </w:tabs>
        <w:ind w:left="2880" w:hanging="360"/>
      </w:pPr>
      <w:rPr>
        <w:rFonts w:ascii="Arial" w:hAnsi="Arial" w:hint="default"/>
      </w:rPr>
    </w:lvl>
    <w:lvl w:ilvl="4" w:tplc="89B6A75C" w:tentative="1">
      <w:start w:val="1"/>
      <w:numFmt w:val="bullet"/>
      <w:lvlText w:val="•"/>
      <w:lvlJc w:val="left"/>
      <w:pPr>
        <w:tabs>
          <w:tab w:val="num" w:pos="3600"/>
        </w:tabs>
        <w:ind w:left="3600" w:hanging="360"/>
      </w:pPr>
      <w:rPr>
        <w:rFonts w:ascii="Arial" w:hAnsi="Arial" w:hint="default"/>
      </w:rPr>
    </w:lvl>
    <w:lvl w:ilvl="5" w:tplc="F858DA14" w:tentative="1">
      <w:start w:val="1"/>
      <w:numFmt w:val="bullet"/>
      <w:lvlText w:val="•"/>
      <w:lvlJc w:val="left"/>
      <w:pPr>
        <w:tabs>
          <w:tab w:val="num" w:pos="4320"/>
        </w:tabs>
        <w:ind w:left="4320" w:hanging="360"/>
      </w:pPr>
      <w:rPr>
        <w:rFonts w:ascii="Arial" w:hAnsi="Arial" w:hint="default"/>
      </w:rPr>
    </w:lvl>
    <w:lvl w:ilvl="6" w:tplc="DCA2E9B2" w:tentative="1">
      <w:start w:val="1"/>
      <w:numFmt w:val="bullet"/>
      <w:lvlText w:val="•"/>
      <w:lvlJc w:val="left"/>
      <w:pPr>
        <w:tabs>
          <w:tab w:val="num" w:pos="5040"/>
        </w:tabs>
        <w:ind w:left="5040" w:hanging="360"/>
      </w:pPr>
      <w:rPr>
        <w:rFonts w:ascii="Arial" w:hAnsi="Arial" w:hint="default"/>
      </w:rPr>
    </w:lvl>
    <w:lvl w:ilvl="7" w:tplc="101C67C6" w:tentative="1">
      <w:start w:val="1"/>
      <w:numFmt w:val="bullet"/>
      <w:lvlText w:val="•"/>
      <w:lvlJc w:val="left"/>
      <w:pPr>
        <w:tabs>
          <w:tab w:val="num" w:pos="5760"/>
        </w:tabs>
        <w:ind w:left="5760" w:hanging="360"/>
      </w:pPr>
      <w:rPr>
        <w:rFonts w:ascii="Arial" w:hAnsi="Arial" w:hint="default"/>
      </w:rPr>
    </w:lvl>
    <w:lvl w:ilvl="8" w:tplc="849842B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9BB41D7"/>
    <w:multiLevelType w:val="hybridMultilevel"/>
    <w:tmpl w:val="ACE411F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52E569B2"/>
    <w:multiLevelType w:val="hybridMultilevel"/>
    <w:tmpl w:val="B90C9A68"/>
    <w:lvl w:ilvl="0" w:tplc="FFFFFFFF">
      <w:start w:val="1"/>
      <w:numFmt w:val="bullet"/>
      <w:lvlText w:val="•"/>
      <w:lvlJc w:val="left"/>
      <w:pPr>
        <w:tabs>
          <w:tab w:val="num" w:pos="720"/>
        </w:tabs>
        <w:ind w:left="720" w:hanging="360"/>
      </w:pPr>
      <w:rPr>
        <w:rFonts w:ascii="Arial" w:hAnsi="Arial" w:hint="default"/>
      </w:rPr>
    </w:lvl>
    <w:lvl w:ilvl="1" w:tplc="10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4141EC9"/>
    <w:multiLevelType w:val="hybridMultilevel"/>
    <w:tmpl w:val="9D347CA2"/>
    <w:lvl w:ilvl="0" w:tplc="E7228EE8">
      <w:start w:val="1"/>
      <w:numFmt w:val="bullet"/>
      <w:lvlText w:val="•"/>
      <w:lvlJc w:val="left"/>
      <w:pPr>
        <w:tabs>
          <w:tab w:val="num" w:pos="720"/>
        </w:tabs>
        <w:ind w:left="720" w:hanging="360"/>
      </w:pPr>
      <w:rPr>
        <w:rFonts w:ascii="Arial" w:hAnsi="Arial" w:hint="default"/>
      </w:rPr>
    </w:lvl>
    <w:lvl w:ilvl="1" w:tplc="CF0EC698" w:tentative="1">
      <w:start w:val="1"/>
      <w:numFmt w:val="bullet"/>
      <w:lvlText w:val="•"/>
      <w:lvlJc w:val="left"/>
      <w:pPr>
        <w:tabs>
          <w:tab w:val="num" w:pos="1440"/>
        </w:tabs>
        <w:ind w:left="1440" w:hanging="360"/>
      </w:pPr>
      <w:rPr>
        <w:rFonts w:ascii="Arial" w:hAnsi="Arial" w:hint="default"/>
      </w:rPr>
    </w:lvl>
    <w:lvl w:ilvl="2" w:tplc="691847B4" w:tentative="1">
      <w:start w:val="1"/>
      <w:numFmt w:val="bullet"/>
      <w:lvlText w:val="•"/>
      <w:lvlJc w:val="left"/>
      <w:pPr>
        <w:tabs>
          <w:tab w:val="num" w:pos="2160"/>
        </w:tabs>
        <w:ind w:left="2160" w:hanging="360"/>
      </w:pPr>
      <w:rPr>
        <w:rFonts w:ascii="Arial" w:hAnsi="Arial" w:hint="default"/>
      </w:rPr>
    </w:lvl>
    <w:lvl w:ilvl="3" w:tplc="54CEBB08" w:tentative="1">
      <w:start w:val="1"/>
      <w:numFmt w:val="bullet"/>
      <w:lvlText w:val="•"/>
      <w:lvlJc w:val="left"/>
      <w:pPr>
        <w:tabs>
          <w:tab w:val="num" w:pos="2880"/>
        </w:tabs>
        <w:ind w:left="2880" w:hanging="360"/>
      </w:pPr>
      <w:rPr>
        <w:rFonts w:ascii="Arial" w:hAnsi="Arial" w:hint="default"/>
      </w:rPr>
    </w:lvl>
    <w:lvl w:ilvl="4" w:tplc="BECC4F3E" w:tentative="1">
      <w:start w:val="1"/>
      <w:numFmt w:val="bullet"/>
      <w:lvlText w:val="•"/>
      <w:lvlJc w:val="left"/>
      <w:pPr>
        <w:tabs>
          <w:tab w:val="num" w:pos="3600"/>
        </w:tabs>
        <w:ind w:left="3600" w:hanging="360"/>
      </w:pPr>
      <w:rPr>
        <w:rFonts w:ascii="Arial" w:hAnsi="Arial" w:hint="default"/>
      </w:rPr>
    </w:lvl>
    <w:lvl w:ilvl="5" w:tplc="5D0AA670" w:tentative="1">
      <w:start w:val="1"/>
      <w:numFmt w:val="bullet"/>
      <w:lvlText w:val="•"/>
      <w:lvlJc w:val="left"/>
      <w:pPr>
        <w:tabs>
          <w:tab w:val="num" w:pos="4320"/>
        </w:tabs>
        <w:ind w:left="4320" w:hanging="360"/>
      </w:pPr>
      <w:rPr>
        <w:rFonts w:ascii="Arial" w:hAnsi="Arial" w:hint="default"/>
      </w:rPr>
    </w:lvl>
    <w:lvl w:ilvl="6" w:tplc="83E8DD4E" w:tentative="1">
      <w:start w:val="1"/>
      <w:numFmt w:val="bullet"/>
      <w:lvlText w:val="•"/>
      <w:lvlJc w:val="left"/>
      <w:pPr>
        <w:tabs>
          <w:tab w:val="num" w:pos="5040"/>
        </w:tabs>
        <w:ind w:left="5040" w:hanging="360"/>
      </w:pPr>
      <w:rPr>
        <w:rFonts w:ascii="Arial" w:hAnsi="Arial" w:hint="default"/>
      </w:rPr>
    </w:lvl>
    <w:lvl w:ilvl="7" w:tplc="8FF07440" w:tentative="1">
      <w:start w:val="1"/>
      <w:numFmt w:val="bullet"/>
      <w:lvlText w:val="•"/>
      <w:lvlJc w:val="left"/>
      <w:pPr>
        <w:tabs>
          <w:tab w:val="num" w:pos="5760"/>
        </w:tabs>
        <w:ind w:left="5760" w:hanging="360"/>
      </w:pPr>
      <w:rPr>
        <w:rFonts w:ascii="Arial" w:hAnsi="Arial" w:hint="default"/>
      </w:rPr>
    </w:lvl>
    <w:lvl w:ilvl="8" w:tplc="4FBAFFC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DCD175D"/>
    <w:multiLevelType w:val="hybridMultilevel"/>
    <w:tmpl w:val="A5B4857C"/>
    <w:lvl w:ilvl="0" w:tplc="FFFFFFFF">
      <w:start w:val="1"/>
      <w:numFmt w:val="bullet"/>
      <w:lvlText w:val="•"/>
      <w:lvlJc w:val="left"/>
      <w:pPr>
        <w:tabs>
          <w:tab w:val="num" w:pos="720"/>
        </w:tabs>
        <w:ind w:left="720" w:hanging="360"/>
      </w:pPr>
      <w:rPr>
        <w:rFonts w:ascii="Arial" w:hAnsi="Arial" w:hint="default"/>
      </w:rPr>
    </w:lvl>
    <w:lvl w:ilvl="1" w:tplc="10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33238496">
    <w:abstractNumId w:val="0"/>
  </w:num>
  <w:num w:numId="2" w16cid:durableId="1322081734">
    <w:abstractNumId w:val="2"/>
  </w:num>
  <w:num w:numId="3" w16cid:durableId="310446206">
    <w:abstractNumId w:val="4"/>
  </w:num>
  <w:num w:numId="4" w16cid:durableId="1260330118">
    <w:abstractNumId w:val="1"/>
  </w:num>
  <w:num w:numId="5" w16cid:durableId="1870600745">
    <w:abstractNumId w:val="5"/>
  </w:num>
  <w:num w:numId="6" w16cid:durableId="5457957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FF2"/>
    <w:rsid w:val="00407FF2"/>
    <w:rsid w:val="00475E8A"/>
    <w:rsid w:val="007B75F4"/>
    <w:rsid w:val="0080390C"/>
    <w:rsid w:val="00934EBC"/>
    <w:rsid w:val="0093590B"/>
    <w:rsid w:val="00966499"/>
    <w:rsid w:val="00C02627"/>
    <w:rsid w:val="00D54F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2D24C"/>
  <w15:chartTrackingRefBased/>
  <w15:docId w15:val="{7194DD2A-4292-429D-802B-B45C1800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F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6">
    <w:name w:val="Pa6"/>
    <w:basedOn w:val="Normal"/>
    <w:next w:val="Normal"/>
    <w:uiPriority w:val="99"/>
    <w:rsid w:val="00407FF2"/>
    <w:pPr>
      <w:autoSpaceDE w:val="0"/>
      <w:autoSpaceDN w:val="0"/>
      <w:adjustRightInd w:val="0"/>
      <w:spacing w:after="0" w:line="221" w:lineRule="atLeast"/>
    </w:pPr>
    <w:rPr>
      <w:rFonts w:ascii="Gibson Light" w:hAnsi="Gibson Light"/>
      <w:kern w:val="0"/>
      <w:sz w:val="24"/>
      <w:szCs w:val="24"/>
    </w:rPr>
  </w:style>
  <w:style w:type="paragraph" w:styleId="ListParagraph">
    <w:name w:val="List Paragraph"/>
    <w:basedOn w:val="Normal"/>
    <w:uiPriority w:val="34"/>
    <w:qFormat/>
    <w:rsid w:val="00407FF2"/>
    <w:pPr>
      <w:ind w:left="720"/>
      <w:contextualSpacing/>
    </w:pPr>
  </w:style>
  <w:style w:type="paragraph" w:customStyle="1" w:styleId="Default">
    <w:name w:val="Default"/>
    <w:rsid w:val="00934EBC"/>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8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 Thomas</dc:creator>
  <cp:keywords/>
  <dc:description/>
  <cp:lastModifiedBy>Peter J. Thomas</cp:lastModifiedBy>
  <cp:revision>5</cp:revision>
  <dcterms:created xsi:type="dcterms:W3CDTF">2024-01-22T14:10:00Z</dcterms:created>
  <dcterms:modified xsi:type="dcterms:W3CDTF">2024-02-20T13:49:00Z</dcterms:modified>
</cp:coreProperties>
</file>