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50" w:rsidRPr="00F97250" w:rsidRDefault="00F97250" w:rsidP="00F97250">
      <w:pPr>
        <w:tabs>
          <w:tab w:val="right" w:pos="360"/>
          <w:tab w:val="left" w:pos="540"/>
        </w:tabs>
        <w:autoSpaceDE w:val="0"/>
        <w:autoSpaceDN w:val="0"/>
        <w:adjustRightInd w:val="0"/>
        <w:spacing w:before="720"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97250">
        <w:rPr>
          <w:rFonts w:ascii="Times New Roman" w:hAnsi="Times New Roman" w:cs="Times New Roman"/>
          <w:sz w:val="28"/>
          <w:szCs w:val="28"/>
        </w:rPr>
        <w:t>GIVING (Luke 12:16–21; 21:1–4; 2 Corinthians 9:7; Malachi 3:8–10)</w:t>
      </w:r>
    </w:p>
    <w:p w:rsidR="00F97250" w:rsidRPr="00F97250" w:rsidRDefault="00F97250" w:rsidP="00F97250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“It is more blessed to give than to receive”—Acts 20:35</w:t>
      </w:r>
    </w:p>
    <w:p w:rsidR="00F97250" w:rsidRPr="00F97250" w:rsidRDefault="00F97250" w:rsidP="00F97250">
      <w:pPr>
        <w:tabs>
          <w:tab w:val="right" w:pos="540"/>
          <w:tab w:val="left" w:pos="720"/>
        </w:tabs>
        <w:autoSpaceDE w:val="0"/>
        <w:autoSpaceDN w:val="0"/>
        <w:adjustRightInd w:val="0"/>
        <w:spacing w:before="1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ab/>
        <w:t>I.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AND GIVING—Luke 12:16–20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A.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is an inborn sin. Babies too are selfish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B.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is a deceptive sin. Leads people away from Christ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C.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is a destructive sin. Destroys spirituality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D.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leads to worse sins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E.</w:t>
      </w:r>
      <w:r w:rsidRPr="00F97250">
        <w:rPr>
          <w:rFonts w:ascii="Times New Roman" w:hAnsi="Times New Roman" w:cs="Times New Roman"/>
          <w:sz w:val="24"/>
          <w:szCs w:val="24"/>
        </w:rPr>
        <w:tab/>
        <w:t>Selfishness is a damning sin. Causes people to lose their souls</w:t>
      </w:r>
    </w:p>
    <w:p w:rsidR="00F97250" w:rsidRPr="00F97250" w:rsidRDefault="00F97250" w:rsidP="00F97250">
      <w:pPr>
        <w:tabs>
          <w:tab w:val="right" w:pos="540"/>
          <w:tab w:val="left" w:pos="720"/>
        </w:tabs>
        <w:autoSpaceDE w:val="0"/>
        <w:autoSpaceDN w:val="0"/>
        <w:adjustRightInd w:val="0"/>
        <w:spacing w:before="1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ab/>
        <w:t>II.</w:t>
      </w:r>
      <w:r w:rsidRPr="00F97250">
        <w:rPr>
          <w:rFonts w:ascii="Times New Roman" w:hAnsi="Times New Roman" w:cs="Times New Roman"/>
          <w:sz w:val="24"/>
          <w:szCs w:val="24"/>
        </w:rPr>
        <w:tab/>
        <w:t>SACRIFICIAL GIVING—Luke 21:1–4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A.</w:t>
      </w:r>
      <w:r w:rsidRPr="00F97250">
        <w:rPr>
          <w:rFonts w:ascii="Times New Roman" w:hAnsi="Times New Roman" w:cs="Times New Roman"/>
          <w:sz w:val="24"/>
          <w:szCs w:val="24"/>
        </w:rPr>
        <w:tab/>
        <w:t>The widow gave all she had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(This is the mark of real Christianity)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B.</w:t>
      </w:r>
      <w:r w:rsidRPr="00F97250">
        <w:rPr>
          <w:rFonts w:ascii="Times New Roman" w:hAnsi="Times New Roman" w:cs="Times New Roman"/>
          <w:sz w:val="24"/>
          <w:szCs w:val="24"/>
        </w:rPr>
        <w:tab/>
        <w:t>It is not how much we give, but how we give that counts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 xml:space="preserve">(Giving to show </w:t>
      </w:r>
      <w:proofErr w:type="gramStart"/>
      <w:r w:rsidRPr="00F97250">
        <w:rPr>
          <w:rFonts w:ascii="Times New Roman" w:hAnsi="Times New Roman" w:cs="Times New Roman"/>
          <w:sz w:val="24"/>
          <w:szCs w:val="24"/>
        </w:rPr>
        <w:t>off,</w:t>
      </w:r>
      <w:proofErr w:type="gramEnd"/>
      <w:r w:rsidRPr="00F97250">
        <w:rPr>
          <w:rFonts w:ascii="Times New Roman" w:hAnsi="Times New Roman" w:cs="Times New Roman"/>
          <w:sz w:val="24"/>
          <w:szCs w:val="24"/>
        </w:rPr>
        <w:t xml:space="preserve"> or to be praised is wrong)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C.</w:t>
      </w:r>
      <w:r w:rsidRPr="00F97250">
        <w:rPr>
          <w:rFonts w:ascii="Times New Roman" w:hAnsi="Times New Roman" w:cs="Times New Roman"/>
          <w:sz w:val="24"/>
          <w:szCs w:val="24"/>
        </w:rPr>
        <w:tab/>
        <w:t>If we are consecrated and given to God, we will also give our money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(You can give without loving, but you cannot love without giving)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D.</w:t>
      </w:r>
      <w:r w:rsidRPr="00F97250">
        <w:rPr>
          <w:rFonts w:ascii="Times New Roman" w:hAnsi="Times New Roman" w:cs="Times New Roman"/>
          <w:sz w:val="24"/>
          <w:szCs w:val="24"/>
        </w:rPr>
        <w:tab/>
        <w:t>Jesus gave his all when He died. What have you given?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(Give till it hurts! He gave all—can you?)</w:t>
      </w:r>
    </w:p>
    <w:p w:rsidR="00F97250" w:rsidRPr="00F97250" w:rsidRDefault="00F97250" w:rsidP="00F97250">
      <w:pPr>
        <w:tabs>
          <w:tab w:val="right" w:pos="540"/>
          <w:tab w:val="left" w:pos="720"/>
        </w:tabs>
        <w:autoSpaceDE w:val="0"/>
        <w:autoSpaceDN w:val="0"/>
        <w:adjustRightInd w:val="0"/>
        <w:spacing w:before="1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ab/>
        <w:t>III.</w:t>
      </w:r>
      <w:r w:rsidRPr="00F97250">
        <w:rPr>
          <w:rFonts w:ascii="Times New Roman" w:hAnsi="Times New Roman" w:cs="Times New Roman"/>
          <w:sz w:val="24"/>
          <w:szCs w:val="24"/>
        </w:rPr>
        <w:tab/>
        <w:t>SATISFYING GIVING—2 Cor. 9:6–7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A.</w:t>
      </w:r>
      <w:r w:rsidRPr="00F97250">
        <w:rPr>
          <w:rFonts w:ascii="Times New Roman" w:hAnsi="Times New Roman" w:cs="Times New Roman"/>
          <w:sz w:val="24"/>
          <w:szCs w:val="24"/>
        </w:rPr>
        <w:tab/>
        <w:t>Giving sparingly, we will reap the same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(Money for all things, but the church—it runs by faith)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B.</w:t>
      </w:r>
      <w:r w:rsidRPr="00F97250">
        <w:rPr>
          <w:rFonts w:ascii="Times New Roman" w:hAnsi="Times New Roman" w:cs="Times New Roman"/>
          <w:sz w:val="24"/>
          <w:szCs w:val="24"/>
        </w:rPr>
        <w:tab/>
        <w:t>Give with a purpose. Not forced to give, but because you love the Lord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C.</w:t>
      </w:r>
      <w:r w:rsidRPr="00F97250">
        <w:rPr>
          <w:rFonts w:ascii="Times New Roman" w:hAnsi="Times New Roman" w:cs="Times New Roman"/>
          <w:sz w:val="24"/>
          <w:szCs w:val="24"/>
        </w:rPr>
        <w:tab/>
        <w:t>God loves a cheerful giver, until he brags about it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(Lose your reward if you give to be praised by others)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D.</w:t>
      </w:r>
      <w:r w:rsidRPr="00F97250">
        <w:rPr>
          <w:rFonts w:ascii="Times New Roman" w:hAnsi="Times New Roman" w:cs="Times New Roman"/>
          <w:sz w:val="24"/>
          <w:szCs w:val="24"/>
        </w:rPr>
        <w:tab/>
        <w:t>Suppose God would be stingy with you?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(No sun, rain, health, strength, friends, home, etc.)</w:t>
      </w:r>
    </w:p>
    <w:p w:rsidR="00F97250" w:rsidRPr="00F97250" w:rsidRDefault="00F97250" w:rsidP="00F97250">
      <w:pPr>
        <w:tabs>
          <w:tab w:val="right" w:pos="540"/>
          <w:tab w:val="left" w:pos="720"/>
        </w:tabs>
        <w:autoSpaceDE w:val="0"/>
        <w:autoSpaceDN w:val="0"/>
        <w:adjustRightInd w:val="0"/>
        <w:spacing w:before="1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ab/>
        <w:t>IV.</w:t>
      </w:r>
      <w:r w:rsidRPr="00F97250">
        <w:rPr>
          <w:rFonts w:ascii="Times New Roman" w:hAnsi="Times New Roman" w:cs="Times New Roman"/>
          <w:sz w:val="24"/>
          <w:szCs w:val="24"/>
        </w:rPr>
        <w:tab/>
        <w:t>SYSTEMATIC GIVING—Mal. 3:6–10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A.</w:t>
      </w:r>
      <w:r w:rsidRPr="00F97250">
        <w:rPr>
          <w:rFonts w:ascii="Times New Roman" w:hAnsi="Times New Roman" w:cs="Times New Roman"/>
          <w:sz w:val="24"/>
          <w:szCs w:val="24"/>
        </w:rPr>
        <w:tab/>
        <w:t>Tithing was paid before the law was given—Gen. 14:20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B.</w:t>
      </w:r>
      <w:r w:rsidRPr="00F97250">
        <w:rPr>
          <w:rFonts w:ascii="Times New Roman" w:hAnsi="Times New Roman" w:cs="Times New Roman"/>
          <w:sz w:val="24"/>
          <w:szCs w:val="24"/>
        </w:rPr>
        <w:tab/>
        <w:t>Tithing was practiced after the law was given—Lev. 27:30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(They paid tithes on their animals, farms, etc.)</w:t>
      </w:r>
    </w:p>
    <w:p w:rsidR="00F97250" w:rsidRPr="00F97250" w:rsidRDefault="00F97250" w:rsidP="00F9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C.</w:t>
      </w:r>
      <w:r w:rsidRPr="00F97250">
        <w:rPr>
          <w:rFonts w:ascii="Times New Roman" w:hAnsi="Times New Roman" w:cs="Times New Roman"/>
          <w:sz w:val="24"/>
          <w:szCs w:val="24"/>
        </w:rPr>
        <w:tab/>
        <w:t>Tithing was practiced in the New Testament—Luke 18:12; Matt. 23:23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(Tithing is for us today too! It’s for every born-again Christian)</w:t>
      </w:r>
    </w:p>
    <w:p w:rsidR="00F97250" w:rsidRPr="00F97250" w:rsidRDefault="00F97250" w:rsidP="00F972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Give as God hath prospered you—1 Cor. 16:2 Three types of giving: 1) Flint, you must strike it before it gives; 2) The sponge, must squeeze it before it gives; 3) Honeycomb, it overflows</w:t>
      </w:r>
      <w:r w:rsidRPr="00F9725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331CAD" w:rsidRDefault="00331CAD"/>
    <w:sectPr w:rsidR="00331CAD" w:rsidSect="008259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6D" w:rsidRDefault="00DA7E6D" w:rsidP="00F97250">
      <w:pPr>
        <w:spacing w:after="0" w:line="240" w:lineRule="auto"/>
      </w:pPr>
      <w:r>
        <w:separator/>
      </w:r>
    </w:p>
  </w:endnote>
  <w:endnote w:type="continuationSeparator" w:id="0">
    <w:p w:rsidR="00DA7E6D" w:rsidRDefault="00DA7E6D" w:rsidP="00F9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6D" w:rsidRDefault="00DA7E6D" w:rsidP="00F97250">
      <w:pPr>
        <w:spacing w:after="0" w:line="240" w:lineRule="auto"/>
      </w:pPr>
      <w:r>
        <w:separator/>
      </w:r>
    </w:p>
  </w:footnote>
  <w:footnote w:type="continuationSeparator" w:id="0">
    <w:p w:rsidR="00DA7E6D" w:rsidRDefault="00DA7E6D" w:rsidP="00F97250">
      <w:pPr>
        <w:spacing w:after="0" w:line="240" w:lineRule="auto"/>
      </w:pPr>
      <w:r>
        <w:continuationSeparator/>
      </w:r>
    </w:p>
  </w:footnote>
  <w:footnote w:id="1">
    <w:p w:rsidR="00F97250" w:rsidRDefault="00F97250" w:rsidP="00F97250">
      <w:r>
        <w:rPr>
          <w:vertAlign w:val="superscript"/>
        </w:rPr>
        <w:footnoteRef/>
      </w:r>
      <w:r>
        <w:t xml:space="preserve"> </w:t>
      </w:r>
      <w:proofErr w:type="spellStart"/>
      <w:proofErr w:type="gramStart"/>
      <w:r>
        <w:t>Pentz</w:t>
      </w:r>
      <w:proofErr w:type="spellEnd"/>
      <w:r>
        <w:t>, C. M. (1968).</w:t>
      </w:r>
      <w:proofErr w:type="gramEnd"/>
      <w:r>
        <w:t xml:space="preserve"> </w:t>
      </w:r>
      <w:hyperlink r:id="rId1" w:history="1">
        <w:r>
          <w:rPr>
            <w:i/>
            <w:color w:val="0000FF"/>
            <w:u w:val="single"/>
          </w:rPr>
          <w:t>52 Simple Sermon Outlines</w:t>
        </w:r>
      </w:hyperlink>
      <w:r>
        <w:t xml:space="preserve"> (pp. 60–61). Grand Rapids, MI: Baker Book House.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50"/>
    <w:rsid w:val="00331CAD"/>
    <w:rsid w:val="00DA7E6D"/>
    <w:rsid w:val="00F97250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smplsrmntlns?ref=Page.p+60&amp;off=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Tharwat Eskander</dc:creator>
  <cp:lastModifiedBy>Tharwat Eskander</cp:lastModifiedBy>
  <cp:revision>2</cp:revision>
  <dcterms:created xsi:type="dcterms:W3CDTF">2017-06-29T14:03:00Z</dcterms:created>
  <dcterms:modified xsi:type="dcterms:W3CDTF">2017-06-29T14:07:00Z</dcterms:modified>
</cp:coreProperties>
</file>