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1"/>
        <w:ind w:left="1170" w:right="0" w:firstLine="0"/>
        <w:jc w:val="left"/>
        <w:rPr>
          <w:rFonts w:ascii="Arial"/>
          <w:sz w:val="3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539999</wp:posOffset>
            </wp:positionH>
            <wp:positionV relativeFrom="paragraph">
              <wp:posOffset>-5203</wp:posOffset>
            </wp:positionV>
            <wp:extent cx="497839" cy="4876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3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8"/>
        </w:rPr>
        <w:t>2.1.5 Admission/Discharge</w:t>
      </w:r>
      <w:r>
        <w:rPr>
          <w:rFonts w:ascii="Arial"/>
          <w:spacing w:val="62"/>
          <w:sz w:val="38"/>
        </w:rPr>
        <w:t> </w:t>
      </w:r>
      <w:r>
        <w:rPr>
          <w:rFonts w:ascii="Arial"/>
          <w:sz w:val="38"/>
        </w:rPr>
        <w:t>Process</w:t>
      </w:r>
    </w:p>
    <w:p>
      <w:pPr>
        <w:pStyle w:val="BodyText"/>
        <w:spacing w:before="8"/>
        <w:ind w:left="0" w:firstLine="0"/>
        <w:rPr>
          <w:rFonts w:ascii="Arial"/>
          <w:sz w:val="26"/>
        </w:rPr>
      </w:pPr>
    </w:p>
    <w:tbl>
      <w:tblPr>
        <w:tblW w:w="0" w:type="auto"/>
        <w:jc w:val="left"/>
        <w:tblInd w:w="26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5074"/>
      </w:tblGrid>
      <w:tr>
        <w:trPr>
          <w:trHeight w:val="356" w:hRule="exact"/>
        </w:trPr>
        <w:tc>
          <w:tcPr>
            <w:tcW w:w="5074" w:type="dxa"/>
          </w:tcPr>
          <w:p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Manual:  BV Operational Policies</w:t>
            </w:r>
          </w:p>
        </w:tc>
        <w:tc>
          <w:tcPr>
            <w:tcW w:w="507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Section: Programs</w:t>
            </w:r>
          </w:p>
        </w:tc>
      </w:tr>
      <w:tr>
        <w:trPr>
          <w:trHeight w:val="648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3332"/>
              <w:rPr>
                <w:sz w:val="24"/>
              </w:rPr>
            </w:pPr>
            <w:r>
              <w:rPr>
                <w:sz w:val="24"/>
              </w:rPr>
              <w:t>Approver: Arthur Mathews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546"/>
              <w:rPr>
                <w:sz w:val="24"/>
              </w:rPr>
            </w:pPr>
            <w:r>
              <w:rPr>
                <w:sz w:val="24"/>
              </w:rPr>
              <w:t>Original Date: April 1, 2002</w:t>
            </w:r>
          </w:p>
        </w:tc>
      </w:tr>
      <w:tr>
        <w:trPr>
          <w:trHeight w:val="656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2819"/>
              <w:rPr>
                <w:sz w:val="24"/>
              </w:rPr>
            </w:pPr>
            <w:r>
              <w:rPr>
                <w:sz w:val="24"/>
              </w:rPr>
              <w:t>Date Last Approved: January 3, 2018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026"/>
              <w:rPr>
                <w:sz w:val="24"/>
              </w:rPr>
            </w:pPr>
            <w:r>
              <w:rPr>
                <w:sz w:val="24"/>
              </w:rPr>
              <w:t>Next Review Date: January 3, 2020</w:t>
            </w:r>
          </w:p>
        </w:tc>
      </w:tr>
    </w:tbl>
    <w:p>
      <w:pPr>
        <w:pStyle w:val="BodyText"/>
        <w:spacing w:before="0"/>
        <w:ind w:left="0" w:firstLine="0"/>
        <w:rPr>
          <w:rFonts w:ascii="Arial"/>
          <w:sz w:val="42"/>
        </w:rPr>
      </w:pPr>
    </w:p>
    <w:p>
      <w:pPr>
        <w:pStyle w:val="BodyText"/>
        <w:spacing w:before="10"/>
        <w:ind w:left="0" w:firstLine="0"/>
        <w:rPr>
          <w:rFonts w:ascii="Arial"/>
          <w:sz w:val="43"/>
        </w:rPr>
      </w:pPr>
    </w:p>
    <w:p>
      <w:pPr>
        <w:spacing w:before="0"/>
        <w:ind w:left="3610" w:right="0" w:firstLine="0"/>
        <w:jc w:val="left"/>
        <w:rPr>
          <w:b/>
          <w:sz w:val="36"/>
        </w:rPr>
      </w:pPr>
      <w:r>
        <w:rPr>
          <w:b/>
          <w:sz w:val="36"/>
        </w:rPr>
        <w:t>POLICY STATEMENT</w:t>
      </w:r>
    </w:p>
    <w:p>
      <w:pPr>
        <w:pStyle w:val="BodyText"/>
        <w:spacing w:before="116"/>
        <w:ind w:left="558" w:right="222" w:firstLine="0"/>
        <w:jc w:val="both"/>
      </w:pPr>
      <w:r>
        <w:rPr/>
        <w:t>Broadview Village is committed to an admission process that provides both the candidate and the Agency with clear and concise information in order to provide effective service. We participate in a collaborative system with other agencies in the GTA who provide services for adults with a developmental disability.</w:t>
      </w:r>
    </w:p>
    <w:p>
      <w:pPr>
        <w:pStyle w:val="BodyText"/>
        <w:spacing w:before="2"/>
        <w:ind w:left="0" w:firstLine="0"/>
        <w:rPr>
          <w:sz w:val="13"/>
        </w:rPr>
      </w:pPr>
    </w:p>
    <w:p>
      <w:pPr>
        <w:spacing w:before="90"/>
        <w:ind w:left="4673" w:right="4336" w:firstLine="0"/>
        <w:jc w:val="center"/>
        <w:rPr>
          <w:b/>
          <w:sz w:val="24"/>
        </w:rPr>
      </w:pPr>
      <w:r>
        <w:rPr>
          <w:b/>
          <w:sz w:val="24"/>
        </w:rPr>
        <w:t>PROCEDURE</w:t>
      </w:r>
    </w:p>
    <w:p>
      <w:pPr>
        <w:pStyle w:val="ListParagraph"/>
        <w:numPr>
          <w:ilvl w:val="0"/>
          <w:numId w:val="1"/>
        </w:numPr>
        <w:tabs>
          <w:tab w:pos="1278" w:val="left" w:leader="none"/>
        </w:tabs>
        <w:spacing w:line="240" w:lineRule="auto" w:before="113" w:after="0"/>
        <w:ind w:left="1278" w:right="767" w:hanging="360"/>
        <w:jc w:val="left"/>
        <w:rPr>
          <w:sz w:val="24"/>
        </w:rPr>
      </w:pPr>
      <w:r>
        <w:rPr>
          <w:sz w:val="24"/>
        </w:rPr>
        <w:t>The Program Directors ensure that the Intake packages are complete and that a</w:t>
      </w:r>
      <w:r>
        <w:rPr>
          <w:spacing w:val="-25"/>
          <w:sz w:val="24"/>
        </w:rPr>
        <w:t> </w:t>
      </w:r>
      <w:r>
        <w:rPr>
          <w:sz w:val="24"/>
        </w:rPr>
        <w:t>transition plan is in</w:t>
      </w:r>
      <w:r>
        <w:rPr>
          <w:spacing w:val="-5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1"/>
        </w:numPr>
        <w:tabs>
          <w:tab w:pos="1278" w:val="left" w:leader="none"/>
        </w:tabs>
        <w:spacing w:line="240" w:lineRule="auto" w:before="75" w:after="0"/>
        <w:ind w:left="1278" w:right="0" w:hanging="360"/>
        <w:jc w:val="left"/>
        <w:rPr>
          <w:sz w:val="24"/>
        </w:rPr>
      </w:pPr>
      <w:r>
        <w:rPr>
          <w:sz w:val="24"/>
        </w:rPr>
        <w:t>The Program Directors facilitate an intake</w:t>
      </w:r>
      <w:r>
        <w:rPr>
          <w:spacing w:val="-13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1"/>
        </w:numPr>
        <w:tabs>
          <w:tab w:pos="1278" w:val="left" w:leader="none"/>
        </w:tabs>
        <w:spacing w:line="240" w:lineRule="auto" w:before="77" w:after="0"/>
        <w:ind w:left="1278" w:right="609" w:hanging="360"/>
        <w:jc w:val="left"/>
        <w:rPr>
          <w:sz w:val="24"/>
        </w:rPr>
      </w:pPr>
      <w:r>
        <w:rPr>
          <w:sz w:val="24"/>
        </w:rPr>
        <w:t>The intake meeting agenda includes: consents forms, release of information forms,</w:t>
      </w:r>
      <w:r>
        <w:rPr>
          <w:spacing w:val="-29"/>
          <w:sz w:val="24"/>
        </w:rPr>
        <w:t> </w:t>
      </w:r>
      <w:r>
        <w:rPr>
          <w:sz w:val="24"/>
        </w:rPr>
        <w:t>service agreement, letter of agreement and transition</w:t>
      </w:r>
      <w:r>
        <w:rPr>
          <w:spacing w:val="-14"/>
          <w:sz w:val="24"/>
        </w:rPr>
        <w:t> </w:t>
      </w:r>
      <w:r>
        <w:rPr>
          <w:sz w:val="24"/>
        </w:rPr>
        <w:t>plans.</w:t>
      </w:r>
    </w:p>
    <w:p>
      <w:pPr>
        <w:pStyle w:val="ListParagraph"/>
        <w:numPr>
          <w:ilvl w:val="0"/>
          <w:numId w:val="1"/>
        </w:numPr>
        <w:tabs>
          <w:tab w:pos="1278" w:val="left" w:leader="none"/>
        </w:tabs>
        <w:spacing w:line="240" w:lineRule="auto" w:before="77" w:after="0"/>
        <w:ind w:left="1278" w:right="849" w:hanging="360"/>
        <w:jc w:val="left"/>
        <w:rPr>
          <w:sz w:val="24"/>
        </w:rPr>
      </w:pPr>
      <w:r>
        <w:rPr>
          <w:sz w:val="24"/>
        </w:rPr>
        <w:t>At intake, residents/participants will receive a resident/participant handbook and will</w:t>
      </w:r>
      <w:r>
        <w:rPr>
          <w:spacing w:val="-31"/>
          <w:sz w:val="24"/>
        </w:rPr>
        <w:t> </w:t>
      </w:r>
      <w:r>
        <w:rPr>
          <w:sz w:val="24"/>
        </w:rPr>
        <w:t>be introduced to the resource manual </w:t>
      </w:r>
      <w:r>
        <w:rPr>
          <w:spacing w:val="-6"/>
          <w:sz w:val="24"/>
        </w:rPr>
        <w:t>“Your </w:t>
      </w:r>
      <w:r>
        <w:rPr>
          <w:sz w:val="24"/>
        </w:rPr>
        <w:t>Right </w:t>
      </w:r>
      <w:r>
        <w:rPr>
          <w:spacing w:val="-9"/>
          <w:sz w:val="24"/>
        </w:rPr>
        <w:t>To </w:t>
      </w:r>
      <w:r>
        <w:rPr>
          <w:sz w:val="24"/>
        </w:rPr>
        <w:t>Know”. This manual includes the following rights and</w:t>
      </w:r>
      <w:r>
        <w:rPr>
          <w:spacing w:val="-16"/>
          <w:sz w:val="24"/>
        </w:rPr>
        <w:t> </w:t>
      </w:r>
      <w:r>
        <w:rPr>
          <w:sz w:val="24"/>
        </w:rPr>
        <w:t>responsibilities:</w:t>
      </w:r>
    </w:p>
    <w:p>
      <w:pPr>
        <w:pStyle w:val="ListParagraph"/>
        <w:numPr>
          <w:ilvl w:val="1"/>
          <w:numId w:val="1"/>
        </w:numPr>
        <w:tabs>
          <w:tab w:pos="2201" w:val="left" w:leader="none"/>
          <w:tab w:pos="2202" w:val="left" w:leader="none"/>
        </w:tabs>
        <w:spacing w:line="240" w:lineRule="auto" w:before="77" w:after="0"/>
        <w:ind w:left="2202" w:right="0" w:hanging="360"/>
        <w:jc w:val="left"/>
        <w:rPr>
          <w:sz w:val="24"/>
        </w:rPr>
      </w:pPr>
      <w:r>
        <w:rPr>
          <w:sz w:val="24"/>
        </w:rPr>
        <w:t>Say no to</w:t>
      </w:r>
      <w:r>
        <w:rPr>
          <w:spacing w:val="-5"/>
          <w:sz w:val="24"/>
        </w:rPr>
        <w:t> </w:t>
      </w:r>
      <w:r>
        <w:rPr>
          <w:sz w:val="24"/>
        </w:rPr>
        <w:t>abuse</w:t>
      </w:r>
    </w:p>
    <w:p>
      <w:pPr>
        <w:pStyle w:val="ListParagraph"/>
        <w:numPr>
          <w:ilvl w:val="1"/>
          <w:numId w:val="1"/>
        </w:numPr>
        <w:tabs>
          <w:tab w:pos="2201" w:val="left" w:leader="none"/>
          <w:tab w:pos="2202" w:val="left" w:leader="none"/>
        </w:tabs>
        <w:spacing w:line="240" w:lineRule="auto" w:before="77" w:after="0"/>
        <w:ind w:left="2202" w:right="0" w:hanging="360"/>
        <w:jc w:val="left"/>
        <w:rPr>
          <w:sz w:val="24"/>
        </w:rPr>
      </w:pPr>
      <w:r>
        <w:rPr>
          <w:sz w:val="24"/>
        </w:rPr>
        <w:t>Mission statement/vision</w:t>
      </w:r>
      <w:r>
        <w:rPr>
          <w:spacing w:val="-13"/>
          <w:sz w:val="24"/>
        </w:rPr>
        <w:t> </w:t>
      </w:r>
      <w:r>
        <w:rPr>
          <w:sz w:val="24"/>
        </w:rPr>
        <w:t>statement</w:t>
      </w:r>
    </w:p>
    <w:p>
      <w:pPr>
        <w:pStyle w:val="ListParagraph"/>
        <w:numPr>
          <w:ilvl w:val="1"/>
          <w:numId w:val="1"/>
        </w:numPr>
        <w:tabs>
          <w:tab w:pos="2201" w:val="left" w:leader="none"/>
          <w:tab w:pos="2202" w:val="left" w:leader="none"/>
        </w:tabs>
        <w:spacing w:line="240" w:lineRule="auto" w:before="77" w:after="0"/>
        <w:ind w:left="2202" w:right="0" w:hanging="360"/>
        <w:jc w:val="left"/>
        <w:rPr>
          <w:sz w:val="24"/>
        </w:rPr>
      </w:pPr>
      <w:r>
        <w:rPr>
          <w:sz w:val="24"/>
        </w:rPr>
        <w:t>Agency</w:t>
      </w:r>
      <w:r>
        <w:rPr>
          <w:spacing w:val="-4"/>
          <w:sz w:val="24"/>
        </w:rPr>
        <w:t> </w:t>
      </w:r>
      <w:r>
        <w:rPr>
          <w:sz w:val="24"/>
        </w:rPr>
        <w:t>philosophy</w:t>
      </w:r>
    </w:p>
    <w:p>
      <w:pPr>
        <w:pStyle w:val="ListParagraph"/>
        <w:numPr>
          <w:ilvl w:val="1"/>
          <w:numId w:val="1"/>
        </w:numPr>
        <w:tabs>
          <w:tab w:pos="2201" w:val="left" w:leader="none"/>
          <w:tab w:pos="2202" w:val="left" w:leader="none"/>
        </w:tabs>
        <w:spacing w:line="240" w:lineRule="auto" w:before="77" w:after="0"/>
        <w:ind w:left="2202" w:right="0" w:hanging="360"/>
        <w:jc w:val="left"/>
        <w:rPr>
          <w:sz w:val="24"/>
        </w:rPr>
      </w:pPr>
      <w:r>
        <w:rPr>
          <w:sz w:val="24"/>
        </w:rPr>
        <w:t>Confidentiality and privacy</w:t>
      </w:r>
      <w:r>
        <w:rPr>
          <w:spacing w:val="-14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1278" w:val="left" w:leader="none"/>
        </w:tabs>
        <w:spacing w:line="240" w:lineRule="auto" w:before="77" w:after="0"/>
        <w:ind w:left="1278" w:right="0" w:hanging="360"/>
        <w:jc w:val="left"/>
        <w:rPr>
          <w:sz w:val="24"/>
        </w:rPr>
      </w:pPr>
      <w:r>
        <w:rPr>
          <w:sz w:val="24"/>
        </w:rPr>
        <w:t>Resident/participant handbook reviewed</w:t>
      </w:r>
      <w:r>
        <w:rPr>
          <w:spacing w:val="-33"/>
          <w:sz w:val="24"/>
        </w:rPr>
        <w:t> </w:t>
      </w:r>
      <w:r>
        <w:rPr>
          <w:sz w:val="24"/>
        </w:rPr>
        <w:t>annually.</w:t>
      </w:r>
    </w:p>
    <w:p>
      <w:pPr>
        <w:pStyle w:val="ListParagraph"/>
        <w:numPr>
          <w:ilvl w:val="0"/>
          <w:numId w:val="1"/>
        </w:numPr>
        <w:tabs>
          <w:tab w:pos="1278" w:val="left" w:leader="none"/>
        </w:tabs>
        <w:spacing w:line="240" w:lineRule="auto" w:before="73" w:after="0"/>
        <w:ind w:left="1278" w:right="282" w:hanging="360"/>
        <w:jc w:val="left"/>
        <w:rPr>
          <w:sz w:val="24"/>
        </w:rPr>
      </w:pPr>
      <w:r>
        <w:rPr>
          <w:sz w:val="24"/>
        </w:rPr>
        <w:t>For residential programs: it is the referring </w:t>
      </w:r>
      <w:r>
        <w:rPr>
          <w:spacing w:val="-3"/>
          <w:sz w:val="24"/>
        </w:rPr>
        <w:t>agency, </w:t>
      </w:r>
      <w:r>
        <w:rPr>
          <w:sz w:val="24"/>
        </w:rPr>
        <w:t>or family/caregiver’s responsibility to notify ODSP that the individual will be moving into a group home that is owned and</w:t>
      </w:r>
      <w:r>
        <w:rPr>
          <w:spacing w:val="-30"/>
          <w:sz w:val="24"/>
        </w:rPr>
        <w:t> </w:t>
      </w:r>
      <w:r>
        <w:rPr>
          <w:sz w:val="24"/>
        </w:rPr>
        <w:t>operated by The Salvation Army Broadview</w:t>
      </w:r>
      <w:r>
        <w:rPr>
          <w:spacing w:val="-20"/>
          <w:sz w:val="24"/>
        </w:rPr>
        <w:t> </w:t>
      </w:r>
      <w:r>
        <w:rPr>
          <w:spacing w:val="-3"/>
          <w:sz w:val="24"/>
        </w:rPr>
        <w:t>Village.</w:t>
      </w:r>
    </w:p>
    <w:p>
      <w:pPr>
        <w:pStyle w:val="ListParagraph"/>
        <w:numPr>
          <w:ilvl w:val="0"/>
          <w:numId w:val="1"/>
        </w:numPr>
        <w:tabs>
          <w:tab w:pos="1278" w:val="left" w:leader="none"/>
        </w:tabs>
        <w:spacing w:line="240" w:lineRule="auto" w:before="77" w:after="0"/>
        <w:ind w:left="1278" w:right="0" w:hanging="360"/>
        <w:jc w:val="left"/>
        <w:rPr>
          <w:sz w:val="24"/>
        </w:rPr>
      </w:pPr>
      <w:r>
        <w:rPr>
          <w:sz w:val="24"/>
        </w:rPr>
        <w:t>A letter from the agency confirming a permanent</w:t>
      </w:r>
      <w:r>
        <w:rPr>
          <w:spacing w:val="-27"/>
          <w:sz w:val="24"/>
        </w:rPr>
        <w:t> </w:t>
      </w:r>
      <w:r>
        <w:rPr>
          <w:sz w:val="24"/>
        </w:rPr>
        <w:t>placement.</w:t>
      </w:r>
    </w:p>
    <w:p>
      <w:pPr>
        <w:pStyle w:val="ListParagraph"/>
        <w:numPr>
          <w:ilvl w:val="0"/>
          <w:numId w:val="1"/>
        </w:numPr>
        <w:tabs>
          <w:tab w:pos="1278" w:val="left" w:leader="none"/>
        </w:tabs>
        <w:spacing w:line="240" w:lineRule="auto" w:before="75" w:after="0"/>
        <w:ind w:left="1278" w:right="725" w:hanging="360"/>
        <w:jc w:val="left"/>
        <w:rPr>
          <w:sz w:val="24"/>
        </w:rPr>
      </w:pPr>
      <w:r>
        <w:rPr>
          <w:sz w:val="24"/>
        </w:rPr>
        <w:t>For fee for service programs: The Day Program Director in consultation with the ED</w:t>
      </w:r>
      <w:r>
        <w:rPr>
          <w:spacing w:val="-32"/>
          <w:sz w:val="24"/>
        </w:rPr>
        <w:t> </w:t>
      </w:r>
      <w:r>
        <w:rPr>
          <w:sz w:val="24"/>
        </w:rPr>
        <w:t>will establish, receive and maintain documentation of fees to be paid for services</w:t>
      </w:r>
      <w:r>
        <w:rPr>
          <w:spacing w:val="-24"/>
          <w:sz w:val="24"/>
        </w:rPr>
        <w:t> </w:t>
      </w:r>
      <w:r>
        <w:rPr>
          <w:sz w:val="24"/>
        </w:rPr>
        <w:t>rendered.</w:t>
      </w:r>
    </w:p>
    <w:p>
      <w:pPr>
        <w:pStyle w:val="ListParagraph"/>
        <w:numPr>
          <w:ilvl w:val="0"/>
          <w:numId w:val="1"/>
        </w:numPr>
        <w:tabs>
          <w:tab w:pos="1278" w:val="left" w:leader="none"/>
        </w:tabs>
        <w:spacing w:line="240" w:lineRule="auto" w:before="75" w:after="0"/>
        <w:ind w:left="1278" w:right="370" w:hanging="360"/>
        <w:jc w:val="left"/>
        <w:rPr>
          <w:sz w:val="24"/>
        </w:rPr>
      </w:pPr>
      <w:r>
        <w:rPr>
          <w:sz w:val="24"/>
        </w:rPr>
        <w:t>Discharge process is facilitated by the Program Directors. The Program Directors ensure</w:t>
      </w:r>
      <w:r>
        <w:rPr>
          <w:spacing w:val="-30"/>
          <w:sz w:val="24"/>
        </w:rPr>
        <w:t> </w:t>
      </w:r>
      <w:r>
        <w:rPr>
          <w:sz w:val="24"/>
        </w:rPr>
        <w:t>that discharge package is completed; and that file is kept for at least seven</w:t>
      </w:r>
      <w:r>
        <w:rPr>
          <w:spacing w:val="-21"/>
          <w:sz w:val="24"/>
        </w:rPr>
        <w:t> </w:t>
      </w:r>
      <w:r>
        <w:rPr>
          <w:sz w:val="24"/>
        </w:rPr>
        <w:t>years.</w:t>
      </w:r>
    </w:p>
    <w:sectPr>
      <w:type w:val="continuous"/>
      <w:pgSz w:w="11910" w:h="16840"/>
      <w:pgMar w:top="84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202" w:hanging="360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12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77"/>
      <w:ind w:left="1278" w:hanging="36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77"/>
      <w:ind w:left="1278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7"/>
      <w:ind w:left="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2019-02-05T11:45:14Z</dcterms:created>
  <dcterms:modified xsi:type="dcterms:W3CDTF">2019-02-05T11:45:14Z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TCPDF</vt:lpwstr>
  </property>
  <property fmtid="{D5CDD505-2E9C-101B-9397-08002B2CF9AE}" pid="4" name="LastSaved">
    <vt:filetime>2019-02-05T00:00:00Z</vt:filetime>
  </property>
</Properties>
</file>