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1"/>
        <w:ind w:left="1170" w:right="0" w:firstLine="0"/>
        <w:jc w:val="left"/>
        <w:rPr>
          <w:rFonts w:ascii="Arial"/>
          <w:sz w:val="3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539999</wp:posOffset>
            </wp:positionH>
            <wp:positionV relativeFrom="paragraph">
              <wp:posOffset>-5203</wp:posOffset>
            </wp:positionV>
            <wp:extent cx="497839" cy="487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8"/>
        </w:rPr>
        <w:t>2.4.5 Emergency</w:t>
      </w:r>
      <w:r>
        <w:rPr>
          <w:rFonts w:ascii="Arial"/>
          <w:spacing w:val="51"/>
          <w:sz w:val="38"/>
        </w:rPr>
        <w:t> </w:t>
      </w:r>
      <w:r>
        <w:rPr>
          <w:rFonts w:ascii="Arial"/>
          <w:sz w:val="38"/>
        </w:rPr>
        <w:t>Responses</w:t>
      </w:r>
    </w:p>
    <w:p>
      <w:pPr>
        <w:pStyle w:val="BodyText"/>
        <w:spacing w:before="8"/>
        <w:ind w:left="0" w:firstLine="0"/>
        <w:rPr>
          <w:rFonts w:ascii="Arial"/>
          <w:sz w:val="26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Programs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6, 2005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3,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3, 2019</w:t>
            </w:r>
          </w:p>
        </w:tc>
      </w:tr>
    </w:tbl>
    <w:p>
      <w:pPr>
        <w:pStyle w:val="BodyText"/>
        <w:ind w:left="0" w:firstLine="0"/>
        <w:rPr>
          <w:rFonts w:ascii="Arial"/>
          <w:sz w:val="42"/>
        </w:rPr>
      </w:pPr>
    </w:p>
    <w:p>
      <w:pPr>
        <w:pStyle w:val="BodyText"/>
        <w:spacing w:before="10"/>
        <w:ind w:left="0" w:firstLine="0"/>
        <w:rPr>
          <w:rFonts w:ascii="Arial"/>
          <w:sz w:val="43"/>
        </w:rPr>
      </w:pPr>
    </w:p>
    <w:p>
      <w:pPr>
        <w:pStyle w:val="Heading1"/>
        <w:ind w:right="3221"/>
      </w:pPr>
      <w:r>
        <w:rPr/>
        <w:t>POLICY STATEMENT</w:t>
      </w:r>
    </w:p>
    <w:p>
      <w:pPr>
        <w:pStyle w:val="BodyText"/>
        <w:spacing w:before="1"/>
        <w:ind w:left="0" w:firstLine="0"/>
        <w:rPr>
          <w:b/>
          <w:sz w:val="39"/>
        </w:rPr>
      </w:pPr>
    </w:p>
    <w:p>
      <w:pPr>
        <w:pStyle w:val="BodyText"/>
        <w:ind w:left="558" w:right="222" w:firstLine="0"/>
        <w:jc w:val="both"/>
      </w:pPr>
      <w:r>
        <w:rPr/>
        <w:t>Broadview Village is committed to providing a safe environment for residents/participants and staff. Responses to emergency situations (fire, disaster, missing person, police, medical and death) will be written, reviewed and revised as necessary.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</w:pPr>
    </w:p>
    <w:p>
      <w:pPr>
        <w:pStyle w:val="Heading1"/>
      </w:pPr>
      <w:r>
        <w:rPr/>
        <w:t>PROCEDURE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13" w:after="0"/>
        <w:ind w:left="918" w:right="223" w:hanging="360"/>
        <w:jc w:val="both"/>
        <w:rPr>
          <w:sz w:val="24"/>
        </w:rPr>
      </w:pPr>
      <w:r>
        <w:rPr>
          <w:sz w:val="24"/>
        </w:rPr>
        <w:t>The Executive Director will ensure that emergency procedures are reviewed and revised as required.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26" w:hanging="360"/>
        <w:jc w:val="both"/>
        <w:rPr>
          <w:sz w:val="24"/>
        </w:rPr>
      </w:pPr>
      <w:r>
        <w:rPr>
          <w:sz w:val="24"/>
        </w:rPr>
        <w:t>Emergency Procedures will contain detailed information on how staff are to respond to the following emergencies; fire, disaster, missing person, police, medical and death of</w:t>
      </w:r>
      <w:r>
        <w:rPr>
          <w:spacing w:val="-40"/>
          <w:sz w:val="24"/>
        </w:rPr>
        <w:t> </w:t>
      </w:r>
      <w:r>
        <w:rPr>
          <w:sz w:val="24"/>
        </w:rPr>
        <w:t>a resident.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7" w:after="0"/>
        <w:ind w:left="918" w:right="0" w:hanging="360"/>
        <w:jc w:val="left"/>
        <w:rPr>
          <w:sz w:val="24"/>
        </w:rPr>
      </w:pPr>
      <w:r>
        <w:rPr>
          <w:sz w:val="24"/>
        </w:rPr>
        <w:t>Emergency Procedures will be posted by telephones and/or other visible areas in each</w:t>
      </w:r>
      <w:r>
        <w:rPr>
          <w:spacing w:val="-25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28" w:hanging="360"/>
        <w:jc w:val="both"/>
        <w:rPr>
          <w:sz w:val="24"/>
        </w:rPr>
      </w:pPr>
      <w:r>
        <w:rPr>
          <w:sz w:val="24"/>
        </w:rPr>
        <w:t>During Main House office hours Monday to Friday staff will report any emergency to administration.  During all other hours, staff will report any emergencies via the On Call</w:t>
      </w:r>
      <w:r>
        <w:rPr>
          <w:spacing w:val="-3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7" w:after="0"/>
        <w:ind w:left="918" w:right="0" w:hanging="360"/>
        <w:jc w:val="left"/>
        <w:rPr>
          <w:sz w:val="24"/>
        </w:rPr>
      </w:pPr>
      <w:r>
        <w:rPr>
          <w:sz w:val="24"/>
        </w:rPr>
        <w:t>Staff will document emergencies on an Incident Report and forward to the administration</w:t>
      </w:r>
      <w:r>
        <w:rPr>
          <w:spacing w:val="-38"/>
          <w:sz w:val="24"/>
        </w:rPr>
        <w:t> </w:t>
      </w:r>
      <w:r>
        <w:rPr>
          <w:sz w:val="24"/>
        </w:rPr>
        <w:t>office.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28" w:hanging="360"/>
        <w:jc w:val="both"/>
        <w:rPr>
          <w:sz w:val="24"/>
        </w:rPr>
      </w:pPr>
      <w:r>
        <w:rPr>
          <w:sz w:val="24"/>
        </w:rPr>
        <w:t>Annual Fire Inspections will be completed by the Fire Department as well as inspections of equipment by a designated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company.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9" w:after="0"/>
        <w:ind w:left="918" w:right="227" w:hanging="360"/>
        <w:jc w:val="both"/>
        <w:rPr>
          <w:sz w:val="24"/>
        </w:rPr>
      </w:pPr>
      <w:r>
        <w:rPr>
          <w:sz w:val="24"/>
        </w:rPr>
        <w:t>Fire Drills (held monthly in residential and administration sites and held quarterly at Railside)</w:t>
      </w:r>
      <w:r>
        <w:rPr>
          <w:spacing w:val="-30"/>
          <w:sz w:val="24"/>
        </w:rPr>
        <w:t> </w:t>
      </w:r>
      <w:r>
        <w:rPr>
          <w:sz w:val="24"/>
        </w:rPr>
        <w:t>and Health &amp; Safety Inspections will be completed at all sites and will as much as possible occur at different time</w:t>
      </w:r>
      <w:r>
        <w:rPr>
          <w:spacing w:val="-11"/>
          <w:sz w:val="24"/>
        </w:rPr>
        <w:t> </w:t>
      </w:r>
      <w:r>
        <w:rPr>
          <w:sz w:val="24"/>
        </w:rPr>
        <w:t>periods.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155" w:after="0"/>
        <w:ind w:left="918" w:right="219" w:hanging="360"/>
        <w:jc w:val="both"/>
        <w:rPr>
          <w:sz w:val="24"/>
        </w:rPr>
      </w:pPr>
      <w:r>
        <w:rPr>
          <w:sz w:val="24"/>
        </w:rPr>
        <w:t>Residents/Participants/Staff will be orientated on responding to fire drills/smoke detectors, documentation and any teaching/training needs will be noted in the site meeting minutes and Health &amp; Safety Inspection</w:t>
      </w:r>
      <w:r>
        <w:rPr>
          <w:spacing w:val="-8"/>
          <w:sz w:val="24"/>
        </w:rPr>
        <w:t> </w:t>
      </w:r>
      <w:r>
        <w:rPr>
          <w:sz w:val="24"/>
        </w:rPr>
        <w:t>reports.</w:t>
      </w:r>
    </w:p>
    <w:sectPr>
      <w:type w:val="continuous"/>
      <w:pgSz w:w="11910" w:h="16840"/>
      <w:pgMar w:top="84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8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18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58" w:right="3219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59"/>
      <w:ind w:left="918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ind w:left="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2019-02-05T11:43:25Z</dcterms:created>
  <dcterms:modified xsi:type="dcterms:W3CDTF">2019-02-05T11:43:25Z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