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1"/>
        <w:ind w:left="1170" w:right="0" w:firstLine="0"/>
        <w:jc w:val="left"/>
        <w:rPr>
          <w:rFonts w:ascii="Arial"/>
          <w:sz w:val="38"/>
        </w:rPr>
      </w:pPr>
      <w:r>
        <w:rPr/>
        <w:drawing>
          <wp:anchor distT="0" distB="0" distL="0" distR="0" allowOverlap="1" layoutInCell="1" locked="0" behindDoc="0" simplePos="0" relativeHeight="0">
            <wp:simplePos x="0" y="0"/>
            <wp:positionH relativeFrom="page">
              <wp:posOffset>539999</wp:posOffset>
            </wp:positionH>
            <wp:positionV relativeFrom="paragraph">
              <wp:posOffset>-5203</wp:posOffset>
            </wp:positionV>
            <wp:extent cx="497839" cy="487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7839" cy="487679"/>
                    </a:xfrm>
                    <a:prstGeom prst="rect">
                      <a:avLst/>
                    </a:prstGeom>
                  </pic:spPr>
                </pic:pic>
              </a:graphicData>
            </a:graphic>
          </wp:anchor>
        </w:drawing>
      </w:r>
      <w:r>
        <w:rPr>
          <w:rFonts w:ascii="Arial"/>
          <w:sz w:val="38"/>
        </w:rPr>
        <w:t>2.2.11 Medication Storage &amp;</w:t>
      </w:r>
      <w:r>
        <w:rPr>
          <w:rFonts w:ascii="Arial"/>
          <w:spacing w:val="76"/>
          <w:sz w:val="38"/>
        </w:rPr>
        <w:t> </w:t>
      </w:r>
      <w:r>
        <w:rPr>
          <w:rFonts w:ascii="Arial"/>
          <w:sz w:val="38"/>
        </w:rPr>
        <w:t>Administration</w:t>
      </w:r>
    </w:p>
    <w:p>
      <w:pPr>
        <w:pStyle w:val="BodyText"/>
        <w:spacing w:before="8"/>
        <w:rPr>
          <w:rFonts w:ascii="Arial"/>
          <w:sz w:val="26"/>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ind w:left="15"/>
              <w:rPr>
                <w:sz w:val="24"/>
              </w:rPr>
            </w:pPr>
            <w:r>
              <w:rPr>
                <w:sz w:val="24"/>
              </w:rPr>
              <w:t>Manual:  BV Operational Policies</w:t>
            </w:r>
          </w:p>
        </w:tc>
        <w:tc>
          <w:tcPr>
            <w:tcW w:w="5074" w:type="dxa"/>
          </w:tcPr>
          <w:p>
            <w:pPr>
              <w:pStyle w:val="TableParagraph"/>
              <w:spacing w:before="25"/>
              <w:rPr>
                <w:sz w:val="24"/>
              </w:rPr>
            </w:pPr>
            <w:r>
              <w:rPr>
                <w:sz w:val="24"/>
              </w:rPr>
              <w:t>Section: Programs</w:t>
            </w:r>
          </w:p>
        </w:tc>
      </w:tr>
      <w:tr>
        <w:trPr>
          <w:trHeight w:val="648" w:hRule="exact"/>
        </w:trPr>
        <w:tc>
          <w:tcPr>
            <w:tcW w:w="5074" w:type="dxa"/>
          </w:tcPr>
          <w:p>
            <w:pPr>
              <w:pStyle w:val="TableParagraph"/>
              <w:spacing w:line="261" w:lineRule="auto"/>
              <w:ind w:left="15" w:right="3332"/>
              <w:rPr>
                <w:sz w:val="24"/>
              </w:rPr>
            </w:pPr>
            <w:r>
              <w:rPr>
                <w:sz w:val="24"/>
              </w:rPr>
              <w:t>Approver: Arthur Mathews</w:t>
            </w:r>
          </w:p>
        </w:tc>
        <w:tc>
          <w:tcPr>
            <w:tcW w:w="5074" w:type="dxa"/>
          </w:tcPr>
          <w:p>
            <w:pPr>
              <w:pStyle w:val="TableParagraph"/>
              <w:spacing w:line="261" w:lineRule="auto"/>
              <w:ind w:right="3039"/>
              <w:rPr>
                <w:sz w:val="24"/>
              </w:rPr>
            </w:pPr>
            <w:r>
              <w:rPr>
                <w:sz w:val="24"/>
              </w:rPr>
              <w:t>Original Date: November 1, 2001</w:t>
            </w:r>
          </w:p>
        </w:tc>
      </w:tr>
      <w:tr>
        <w:trPr>
          <w:trHeight w:val="656" w:hRule="exact"/>
        </w:trPr>
        <w:tc>
          <w:tcPr>
            <w:tcW w:w="5074" w:type="dxa"/>
          </w:tcPr>
          <w:p>
            <w:pPr>
              <w:pStyle w:val="TableParagraph"/>
              <w:spacing w:line="261" w:lineRule="auto"/>
              <w:ind w:left="15" w:right="2819"/>
              <w:rPr>
                <w:sz w:val="24"/>
              </w:rPr>
            </w:pPr>
            <w:r>
              <w:rPr>
                <w:sz w:val="24"/>
              </w:rPr>
              <w:t>Date Last Approved: January 3, 2018</w:t>
            </w:r>
          </w:p>
        </w:tc>
        <w:tc>
          <w:tcPr>
            <w:tcW w:w="5074" w:type="dxa"/>
          </w:tcPr>
          <w:p>
            <w:pPr>
              <w:pStyle w:val="TableParagraph"/>
              <w:spacing w:line="261" w:lineRule="auto"/>
              <w:ind w:right="3026"/>
              <w:rPr>
                <w:sz w:val="24"/>
              </w:rPr>
            </w:pPr>
            <w:r>
              <w:rPr>
                <w:sz w:val="24"/>
              </w:rPr>
              <w:t>Next Review Date: January 3, 2019</w:t>
            </w:r>
          </w:p>
        </w:tc>
      </w:tr>
    </w:tbl>
    <w:p>
      <w:pPr>
        <w:pStyle w:val="BodyText"/>
        <w:rPr>
          <w:rFonts w:ascii="Arial"/>
          <w:sz w:val="42"/>
        </w:rPr>
      </w:pPr>
    </w:p>
    <w:p>
      <w:pPr>
        <w:pStyle w:val="BodyText"/>
        <w:spacing w:before="7"/>
        <w:rPr>
          <w:rFonts w:ascii="Arial"/>
          <w:sz w:val="46"/>
        </w:rPr>
      </w:pPr>
    </w:p>
    <w:p>
      <w:pPr>
        <w:pStyle w:val="Heading1"/>
      </w:pPr>
      <w:r>
        <w:rPr/>
        <w:t>POLICY STATEMENT</w:t>
      </w:r>
    </w:p>
    <w:p>
      <w:pPr>
        <w:pStyle w:val="BodyText"/>
        <w:spacing w:before="267"/>
        <w:ind w:left="558" w:right="239"/>
        <w:jc w:val="both"/>
      </w:pPr>
      <w:r>
        <w:rPr/>
        <w:t>Broadview Village is committed to providing and maintaining a medication administration policy (Medication Policies) that clearly outlines procedures, responsibilities and expectations of both staff and residents.</w:t>
      </w:r>
    </w:p>
    <w:p>
      <w:pPr>
        <w:pStyle w:val="BodyText"/>
        <w:rPr>
          <w:sz w:val="15"/>
        </w:rPr>
      </w:pPr>
    </w:p>
    <w:p>
      <w:pPr>
        <w:pStyle w:val="Heading1"/>
        <w:spacing w:before="85"/>
        <w:ind w:left="4294" w:right="3975"/>
        <w:jc w:val="center"/>
      </w:pPr>
      <w:r>
        <w:rPr/>
        <w:t>PROCEDURE</w:t>
      </w:r>
    </w:p>
    <w:p>
      <w:pPr>
        <w:pStyle w:val="BodyText"/>
        <w:spacing w:before="8"/>
        <w:rPr>
          <w:b/>
          <w:sz w:val="33"/>
        </w:rPr>
      </w:pPr>
    </w:p>
    <w:p>
      <w:pPr>
        <w:pStyle w:val="ListParagraph"/>
        <w:numPr>
          <w:ilvl w:val="0"/>
          <w:numId w:val="1"/>
        </w:numPr>
        <w:tabs>
          <w:tab w:pos="918" w:val="left" w:leader="none"/>
        </w:tabs>
        <w:spacing w:line="240" w:lineRule="auto" w:before="0" w:after="0"/>
        <w:ind w:left="918" w:right="245" w:hanging="360"/>
        <w:jc w:val="both"/>
        <w:rPr>
          <w:sz w:val="24"/>
        </w:rPr>
      </w:pPr>
      <w:r>
        <w:rPr>
          <w:sz w:val="24"/>
        </w:rPr>
        <w:t>Managers are to ensure that any new staff is directed to read the medication policies regarding medication administration and is trained to administer medication following the procedures herein. In the day program, only full time instructors dispense</w:t>
      </w:r>
      <w:r>
        <w:rPr>
          <w:spacing w:val="-18"/>
          <w:sz w:val="24"/>
        </w:rPr>
        <w:t> </w:t>
      </w:r>
      <w:r>
        <w:rPr>
          <w:sz w:val="24"/>
        </w:rPr>
        <w:t>medication.</w:t>
      </w:r>
    </w:p>
    <w:p>
      <w:pPr>
        <w:pStyle w:val="BodyText"/>
        <w:spacing w:before="10"/>
        <w:rPr>
          <w:sz w:val="23"/>
        </w:rPr>
      </w:pPr>
    </w:p>
    <w:p>
      <w:pPr>
        <w:pStyle w:val="ListParagraph"/>
        <w:numPr>
          <w:ilvl w:val="0"/>
          <w:numId w:val="1"/>
        </w:numPr>
        <w:tabs>
          <w:tab w:pos="918" w:val="left" w:leader="none"/>
        </w:tabs>
        <w:spacing w:line="240" w:lineRule="auto" w:before="1" w:after="0"/>
        <w:ind w:left="918" w:right="111" w:hanging="360"/>
        <w:jc w:val="both"/>
        <w:rPr>
          <w:sz w:val="24"/>
        </w:rPr>
      </w:pPr>
      <w:r>
        <w:rPr>
          <w:sz w:val="24"/>
        </w:rPr>
        <w:t>Managers are to ensure compliance with medications policies and procedures at each site regarding aspects of medication storage, ordering, packaging, administration, documentation and reporting of errors.</w:t>
      </w:r>
    </w:p>
    <w:p>
      <w:pPr>
        <w:pStyle w:val="BodyText"/>
      </w:pPr>
    </w:p>
    <w:p>
      <w:pPr>
        <w:pStyle w:val="ListParagraph"/>
        <w:numPr>
          <w:ilvl w:val="0"/>
          <w:numId w:val="1"/>
        </w:numPr>
        <w:tabs>
          <w:tab w:pos="918" w:val="left" w:leader="none"/>
        </w:tabs>
        <w:spacing w:line="240" w:lineRule="auto" w:before="0" w:after="0"/>
        <w:ind w:left="918" w:right="251" w:hanging="360"/>
        <w:jc w:val="both"/>
        <w:rPr>
          <w:sz w:val="24"/>
        </w:rPr>
      </w:pPr>
      <w:r>
        <w:rPr>
          <w:sz w:val="24"/>
        </w:rPr>
        <w:t>Should there be a need to review the medication policies and procedures, a review committee  with membership of staff from various sites can be formed, chaired by a Program Director or designate.</w:t>
      </w:r>
    </w:p>
    <w:p>
      <w:pPr>
        <w:pStyle w:val="BodyText"/>
        <w:spacing w:before="11"/>
        <w:rPr>
          <w:sz w:val="23"/>
        </w:rPr>
      </w:pPr>
    </w:p>
    <w:p>
      <w:pPr>
        <w:pStyle w:val="ListParagraph"/>
        <w:numPr>
          <w:ilvl w:val="0"/>
          <w:numId w:val="1"/>
        </w:numPr>
        <w:tabs>
          <w:tab w:pos="918" w:val="left" w:leader="none"/>
        </w:tabs>
        <w:spacing w:line="240" w:lineRule="auto" w:before="0" w:after="0"/>
        <w:ind w:left="918" w:right="111" w:hanging="360"/>
        <w:jc w:val="both"/>
        <w:rPr>
          <w:sz w:val="24"/>
        </w:rPr>
      </w:pPr>
      <w:r>
        <w:rPr>
          <w:sz w:val="24"/>
        </w:rPr>
        <w:t>The medication administration policies and procedures will be reviewed annually by staff, with recommendations for changes being forwarded to the Executive Director or</w:t>
      </w:r>
      <w:r>
        <w:rPr>
          <w:spacing w:val="-24"/>
          <w:sz w:val="24"/>
        </w:rPr>
        <w:t> </w:t>
      </w:r>
      <w:r>
        <w:rPr>
          <w:sz w:val="24"/>
        </w:rPr>
        <w:t>designate.</w:t>
      </w:r>
    </w:p>
    <w:p>
      <w:pPr>
        <w:pStyle w:val="BodyText"/>
        <w:spacing w:before="11"/>
        <w:rPr>
          <w:sz w:val="23"/>
        </w:rPr>
      </w:pPr>
    </w:p>
    <w:p>
      <w:pPr>
        <w:pStyle w:val="ListParagraph"/>
        <w:numPr>
          <w:ilvl w:val="0"/>
          <w:numId w:val="1"/>
        </w:numPr>
        <w:tabs>
          <w:tab w:pos="918" w:val="left" w:leader="none"/>
        </w:tabs>
        <w:spacing w:line="240" w:lineRule="auto" w:before="0" w:after="0"/>
        <w:ind w:left="918" w:right="0" w:hanging="360"/>
        <w:jc w:val="left"/>
        <w:rPr>
          <w:sz w:val="24"/>
        </w:rPr>
      </w:pPr>
      <w:r>
        <w:rPr>
          <w:sz w:val="24"/>
        </w:rPr>
        <w:t>Necessary changes/updates are then made and copies are forwarded to each</w:t>
      </w:r>
      <w:r>
        <w:rPr>
          <w:spacing w:val="-24"/>
          <w:sz w:val="24"/>
        </w:rPr>
        <w:t> </w:t>
      </w:r>
      <w:r>
        <w:rPr>
          <w:sz w:val="24"/>
        </w:rPr>
        <w:t>site.</w:t>
      </w:r>
    </w:p>
    <w:sectPr>
      <w:type w:val="continuous"/>
      <w:pgSz w:w="11910" w:h="16840"/>
      <w:pgMar w:top="840" w:bottom="280" w:left="7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8" w:hanging="360"/>
        <w:jc w:val="left"/>
      </w:pPr>
      <w:rPr>
        <w:rFonts w:hint="default" w:ascii="Times New Roman" w:hAnsi="Times New Roman" w:eastAsia="Times New Roman" w:cs="Times New Roman"/>
        <w:spacing w:val="-6"/>
        <w:w w:val="100"/>
        <w:sz w:val="24"/>
        <w:szCs w:val="24"/>
      </w:rPr>
    </w:lvl>
    <w:lvl w:ilvl="1">
      <w:start w:val="0"/>
      <w:numFmt w:val="bullet"/>
      <w:lvlText w:val="•"/>
      <w:lvlJc w:val="left"/>
      <w:pPr>
        <w:ind w:left="1886" w:hanging="360"/>
      </w:pPr>
      <w:rPr>
        <w:rFonts w:hint="default"/>
      </w:rPr>
    </w:lvl>
    <w:lvl w:ilvl="2">
      <w:start w:val="0"/>
      <w:numFmt w:val="bullet"/>
      <w:lvlText w:val="•"/>
      <w:lvlJc w:val="left"/>
      <w:pPr>
        <w:ind w:left="2853" w:hanging="360"/>
      </w:pPr>
      <w:rPr>
        <w:rFonts w:hint="default"/>
      </w:rPr>
    </w:lvl>
    <w:lvl w:ilvl="3">
      <w:start w:val="0"/>
      <w:numFmt w:val="bullet"/>
      <w:lvlText w:val="•"/>
      <w:lvlJc w:val="left"/>
      <w:pPr>
        <w:ind w:left="3819" w:hanging="360"/>
      </w:pPr>
      <w:rPr>
        <w:rFonts w:hint="default"/>
      </w:rPr>
    </w:lvl>
    <w:lvl w:ilvl="4">
      <w:start w:val="0"/>
      <w:numFmt w:val="bullet"/>
      <w:lvlText w:val="•"/>
      <w:lvlJc w:val="left"/>
      <w:pPr>
        <w:ind w:left="4786" w:hanging="360"/>
      </w:pPr>
      <w:rPr>
        <w:rFonts w:hint="default"/>
      </w:rPr>
    </w:lvl>
    <w:lvl w:ilvl="5">
      <w:start w:val="0"/>
      <w:numFmt w:val="bullet"/>
      <w:lvlText w:val="•"/>
      <w:lvlJc w:val="left"/>
      <w:pPr>
        <w:ind w:left="5752" w:hanging="360"/>
      </w:pPr>
      <w:rPr>
        <w:rFonts w:hint="default"/>
      </w:rPr>
    </w:lvl>
    <w:lvl w:ilvl="6">
      <w:start w:val="0"/>
      <w:numFmt w:val="bullet"/>
      <w:lvlText w:val="•"/>
      <w:lvlJc w:val="left"/>
      <w:pPr>
        <w:ind w:left="6719" w:hanging="360"/>
      </w:pPr>
      <w:rPr>
        <w:rFonts w:hint="default"/>
      </w:rPr>
    </w:lvl>
    <w:lvl w:ilvl="7">
      <w:start w:val="0"/>
      <w:numFmt w:val="bullet"/>
      <w:lvlText w:val="•"/>
      <w:lvlJc w:val="left"/>
      <w:pPr>
        <w:ind w:left="7685" w:hanging="360"/>
      </w:pPr>
      <w:rPr>
        <w:rFonts w:hint="default"/>
      </w:rPr>
    </w:lvl>
    <w:lvl w:ilvl="8">
      <w:start w:val="0"/>
      <w:numFmt w:val="bullet"/>
      <w:lvlText w:val="•"/>
      <w:lvlJc w:val="left"/>
      <w:pPr>
        <w:ind w:left="865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640"/>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918" w:right="111"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17"/>
      <w:ind w:left="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2019-02-05T11:50:10Z</dcterms:created>
  <dcterms:modified xsi:type="dcterms:W3CDTF">2019-02-05T11:50:10Z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