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1"/>
        <w:ind w:left="1170" w:right="0" w:firstLine="0"/>
        <w:jc w:val="left"/>
        <w:rPr>
          <w:rFonts w:ascii="Arial"/>
          <w:sz w:val="38"/>
        </w:rPr>
      </w:pPr>
      <w:r>
        <w:rPr/>
        <w:drawing>
          <wp:anchor distT="0" distB="0" distL="0" distR="0" allowOverlap="1" layoutInCell="1" locked="0" behindDoc="0" simplePos="0" relativeHeight="0">
            <wp:simplePos x="0" y="0"/>
            <wp:positionH relativeFrom="page">
              <wp:posOffset>539999</wp:posOffset>
            </wp:positionH>
            <wp:positionV relativeFrom="paragraph">
              <wp:posOffset>-5203</wp:posOffset>
            </wp:positionV>
            <wp:extent cx="497839" cy="4876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97839" cy="487679"/>
                    </a:xfrm>
                    <a:prstGeom prst="rect">
                      <a:avLst/>
                    </a:prstGeom>
                  </pic:spPr>
                </pic:pic>
              </a:graphicData>
            </a:graphic>
          </wp:anchor>
        </w:drawing>
      </w:r>
      <w:r>
        <w:rPr>
          <w:rFonts w:ascii="Arial"/>
          <w:sz w:val="38"/>
        </w:rPr>
        <w:t>2.2.4 Residents/Participants Rights &amp;</w:t>
      </w:r>
      <w:r>
        <w:rPr>
          <w:rFonts w:ascii="Arial"/>
          <w:spacing w:val="94"/>
          <w:sz w:val="38"/>
        </w:rPr>
        <w:t> </w:t>
      </w:r>
      <w:r>
        <w:rPr>
          <w:rFonts w:ascii="Arial"/>
          <w:sz w:val="38"/>
        </w:rPr>
        <w:t>Responsibilities</w:t>
      </w:r>
    </w:p>
    <w:p>
      <w:pPr>
        <w:pStyle w:val="BodyText"/>
        <w:spacing w:before="8"/>
        <w:rPr>
          <w:rFonts w:ascii="Arial"/>
          <w:sz w:val="26"/>
        </w:rPr>
      </w:pPr>
    </w:p>
    <w:tbl>
      <w:tblPr>
        <w:tblW w:w="0" w:type="auto"/>
        <w:jc w:val="left"/>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top w:w="0" w:type="dxa"/>
          <w:left w:w="0" w:type="dxa"/>
          <w:bottom w:w="0" w:type="dxa"/>
          <w:right w:w="0" w:type="dxa"/>
        </w:tblCellMar>
        <w:tblLook w:val="01E0"/>
      </w:tblPr>
      <w:tblGrid>
        <w:gridCol w:w="5074"/>
        <w:gridCol w:w="5074"/>
      </w:tblGrid>
      <w:tr>
        <w:trPr>
          <w:trHeight w:val="356" w:hRule="exact"/>
        </w:trPr>
        <w:tc>
          <w:tcPr>
            <w:tcW w:w="5074" w:type="dxa"/>
          </w:tcPr>
          <w:p>
            <w:pPr>
              <w:pStyle w:val="TableParagraph"/>
              <w:spacing w:before="25"/>
              <w:ind w:left="15"/>
              <w:rPr>
                <w:sz w:val="24"/>
              </w:rPr>
            </w:pPr>
            <w:r>
              <w:rPr>
                <w:sz w:val="24"/>
              </w:rPr>
              <w:t>Manual:  BV Operational Policies</w:t>
            </w:r>
          </w:p>
        </w:tc>
        <w:tc>
          <w:tcPr>
            <w:tcW w:w="5074" w:type="dxa"/>
          </w:tcPr>
          <w:p>
            <w:pPr>
              <w:pStyle w:val="TableParagraph"/>
              <w:spacing w:before="25"/>
              <w:rPr>
                <w:sz w:val="24"/>
              </w:rPr>
            </w:pPr>
            <w:r>
              <w:rPr>
                <w:sz w:val="24"/>
              </w:rPr>
              <w:t>Section: Programs</w:t>
            </w:r>
          </w:p>
        </w:tc>
      </w:tr>
      <w:tr>
        <w:trPr>
          <w:trHeight w:val="648" w:hRule="exact"/>
        </w:trPr>
        <w:tc>
          <w:tcPr>
            <w:tcW w:w="5074" w:type="dxa"/>
          </w:tcPr>
          <w:p>
            <w:pPr>
              <w:pStyle w:val="TableParagraph"/>
              <w:spacing w:line="261" w:lineRule="auto"/>
              <w:ind w:left="15" w:right="3332"/>
              <w:rPr>
                <w:sz w:val="24"/>
              </w:rPr>
            </w:pPr>
            <w:r>
              <w:rPr>
                <w:sz w:val="24"/>
              </w:rPr>
              <w:t>Approver: Arthur Mathews</w:t>
            </w:r>
          </w:p>
        </w:tc>
        <w:tc>
          <w:tcPr>
            <w:tcW w:w="5074" w:type="dxa"/>
          </w:tcPr>
          <w:p>
            <w:pPr>
              <w:pStyle w:val="TableParagraph"/>
              <w:spacing w:line="261" w:lineRule="auto"/>
              <w:ind w:right="3546"/>
              <w:rPr>
                <w:sz w:val="24"/>
              </w:rPr>
            </w:pPr>
            <w:r>
              <w:rPr>
                <w:sz w:val="24"/>
              </w:rPr>
              <w:t>Original Date: April 1, 2002</w:t>
            </w:r>
          </w:p>
        </w:tc>
      </w:tr>
      <w:tr>
        <w:trPr>
          <w:trHeight w:val="656" w:hRule="exact"/>
        </w:trPr>
        <w:tc>
          <w:tcPr>
            <w:tcW w:w="5074" w:type="dxa"/>
          </w:tcPr>
          <w:p>
            <w:pPr>
              <w:pStyle w:val="TableParagraph"/>
              <w:spacing w:line="261" w:lineRule="auto"/>
              <w:ind w:left="15" w:right="2819"/>
              <w:rPr>
                <w:sz w:val="24"/>
              </w:rPr>
            </w:pPr>
            <w:r>
              <w:rPr>
                <w:sz w:val="24"/>
              </w:rPr>
              <w:t>Date Last Approved: January 3, 2018</w:t>
            </w:r>
          </w:p>
        </w:tc>
        <w:tc>
          <w:tcPr>
            <w:tcW w:w="5074" w:type="dxa"/>
          </w:tcPr>
          <w:p>
            <w:pPr>
              <w:pStyle w:val="TableParagraph"/>
              <w:spacing w:line="261" w:lineRule="auto"/>
              <w:ind w:right="3026"/>
              <w:rPr>
                <w:sz w:val="24"/>
              </w:rPr>
            </w:pPr>
            <w:r>
              <w:rPr>
                <w:sz w:val="24"/>
              </w:rPr>
              <w:t>Next Review Date: January 3, 2019</w:t>
            </w:r>
          </w:p>
        </w:tc>
      </w:tr>
    </w:tbl>
    <w:p>
      <w:pPr>
        <w:pStyle w:val="BodyText"/>
        <w:rPr>
          <w:rFonts w:ascii="Arial"/>
          <w:sz w:val="42"/>
        </w:rPr>
      </w:pPr>
    </w:p>
    <w:p>
      <w:pPr>
        <w:pStyle w:val="BodyText"/>
        <w:spacing w:before="6"/>
        <w:rPr>
          <w:rFonts w:ascii="Arial"/>
          <w:sz w:val="44"/>
        </w:rPr>
      </w:pPr>
    </w:p>
    <w:p>
      <w:pPr>
        <w:pStyle w:val="Heading1"/>
        <w:ind w:right="3241"/>
      </w:pPr>
      <w:r>
        <w:rPr/>
        <w:t>POLICY STATEMENT</w:t>
      </w:r>
    </w:p>
    <w:p>
      <w:pPr>
        <w:pStyle w:val="BodyText"/>
        <w:spacing w:before="269"/>
        <w:ind w:left="558" w:right="242"/>
        <w:jc w:val="both"/>
      </w:pPr>
      <w:r>
        <w:rPr/>
        <w:t>Broadview </w:t>
      </w:r>
      <w:r>
        <w:rPr>
          <w:spacing w:val="-3"/>
        </w:rPr>
        <w:t>Village </w:t>
      </w:r>
      <w:r>
        <w:rPr/>
        <w:t>is committed to upholding the rights of residents/participants and to responding to circumstances where these rights have been violated. These rights are in accordance with the Canadian Charter of Rights and Freedoms, the Ontario Human Rights Code, and other relevant legislation, as well as Agency established guidelines. Broadview </w:t>
      </w:r>
      <w:r>
        <w:rPr>
          <w:spacing w:val="-3"/>
        </w:rPr>
        <w:t>Village </w:t>
      </w:r>
      <w:r>
        <w:rPr/>
        <w:t>is also committed to  teaching residents/participants the responsibilities that come with these</w:t>
      </w:r>
      <w:r>
        <w:rPr>
          <w:spacing w:val="-24"/>
        </w:rPr>
        <w:t> </w:t>
      </w:r>
      <w:r>
        <w:rPr/>
        <w:t>rights.</w:t>
      </w:r>
    </w:p>
    <w:p>
      <w:pPr>
        <w:pStyle w:val="BodyText"/>
        <w:spacing w:before="5"/>
      </w:pPr>
    </w:p>
    <w:p>
      <w:pPr>
        <w:pStyle w:val="Heading1"/>
      </w:pPr>
      <w:r>
        <w:rPr/>
        <w:t>PROCEDURE</w:t>
      </w:r>
    </w:p>
    <w:p>
      <w:pPr>
        <w:pStyle w:val="ListParagraph"/>
        <w:numPr>
          <w:ilvl w:val="0"/>
          <w:numId w:val="1"/>
        </w:numPr>
        <w:tabs>
          <w:tab w:pos="918" w:val="left" w:leader="none"/>
        </w:tabs>
        <w:spacing w:line="240" w:lineRule="auto" w:before="221" w:after="0"/>
        <w:ind w:left="918" w:right="253" w:hanging="360"/>
        <w:jc w:val="left"/>
        <w:rPr>
          <w:sz w:val="24"/>
        </w:rPr>
      </w:pPr>
      <w:r>
        <w:rPr>
          <w:sz w:val="24"/>
        </w:rPr>
        <w:t>A list of rights &amp; responsibilities will be included in the site orientation process for all staff to read and abide</w:t>
      </w:r>
      <w:r>
        <w:rPr>
          <w:spacing w:val="-1"/>
          <w:sz w:val="24"/>
        </w:rPr>
        <w:t> </w:t>
      </w:r>
      <w:r>
        <w:rPr>
          <w:spacing w:val="-6"/>
          <w:sz w:val="24"/>
        </w:rPr>
        <w:t>by.</w:t>
      </w:r>
    </w:p>
    <w:p>
      <w:pPr>
        <w:pStyle w:val="BodyText"/>
        <w:spacing w:before="10"/>
        <w:rPr>
          <w:sz w:val="23"/>
        </w:rPr>
      </w:pPr>
    </w:p>
    <w:p>
      <w:pPr>
        <w:pStyle w:val="ListParagraph"/>
        <w:numPr>
          <w:ilvl w:val="0"/>
          <w:numId w:val="1"/>
        </w:numPr>
        <w:tabs>
          <w:tab w:pos="918" w:val="left" w:leader="none"/>
        </w:tabs>
        <w:spacing w:line="240" w:lineRule="auto" w:before="1" w:after="0"/>
        <w:ind w:left="918" w:right="246" w:hanging="360"/>
        <w:jc w:val="left"/>
        <w:rPr>
          <w:sz w:val="24"/>
        </w:rPr>
      </w:pPr>
      <w:r>
        <w:rPr>
          <w:sz w:val="24"/>
        </w:rPr>
        <w:t>These rights will be discussed with residents/participants, in language therapy they can understand upon admission and reviewed annually in the resident/participant</w:t>
      </w:r>
      <w:r>
        <w:rPr>
          <w:spacing w:val="-27"/>
          <w:sz w:val="24"/>
        </w:rPr>
        <w:t> </w:t>
      </w:r>
      <w:r>
        <w:rPr>
          <w:sz w:val="24"/>
        </w:rPr>
        <w:t>manual.</w:t>
      </w:r>
    </w:p>
    <w:p>
      <w:pPr>
        <w:pStyle w:val="BodyText"/>
        <w:rPr>
          <w:sz w:val="25"/>
        </w:rPr>
      </w:pPr>
    </w:p>
    <w:p>
      <w:pPr>
        <w:pStyle w:val="ListParagraph"/>
        <w:numPr>
          <w:ilvl w:val="0"/>
          <w:numId w:val="1"/>
        </w:numPr>
        <w:tabs>
          <w:tab w:pos="918" w:val="left" w:leader="none"/>
        </w:tabs>
        <w:spacing w:line="240" w:lineRule="auto" w:before="0" w:after="0"/>
        <w:ind w:left="918" w:right="110" w:hanging="360"/>
        <w:jc w:val="both"/>
        <w:rPr>
          <w:sz w:val="23"/>
        </w:rPr>
      </w:pPr>
      <w:r>
        <w:rPr>
          <w:sz w:val="24"/>
        </w:rPr>
        <w:t>Each site/program will include a binder entitled </w:t>
      </w:r>
      <w:r>
        <w:rPr>
          <w:spacing w:val="-5"/>
          <w:sz w:val="24"/>
        </w:rPr>
        <w:t>“Your </w:t>
      </w:r>
      <w:r>
        <w:rPr>
          <w:sz w:val="24"/>
        </w:rPr>
        <w:t>Right </w:t>
      </w:r>
      <w:r>
        <w:rPr>
          <w:spacing w:val="-10"/>
          <w:sz w:val="24"/>
        </w:rPr>
        <w:t>To </w:t>
      </w:r>
      <w:r>
        <w:rPr>
          <w:sz w:val="24"/>
        </w:rPr>
        <w:t>Know”: A Resource Manual For Residents/Participants that provides teaching materials on residents/participants rights and responsibilities.</w:t>
      </w:r>
      <w:r>
        <w:rPr>
          <w:spacing w:val="-9"/>
          <w:sz w:val="24"/>
        </w:rPr>
        <w:t> </w:t>
      </w:r>
      <w:r>
        <w:rPr>
          <w:sz w:val="24"/>
        </w:rPr>
        <w:t>This</w:t>
      </w:r>
      <w:r>
        <w:rPr>
          <w:spacing w:val="-4"/>
          <w:sz w:val="24"/>
        </w:rPr>
        <w:t> </w:t>
      </w:r>
      <w:r>
        <w:rPr>
          <w:sz w:val="24"/>
        </w:rPr>
        <w:t>manual</w:t>
      </w:r>
      <w:r>
        <w:rPr>
          <w:spacing w:val="-5"/>
          <w:sz w:val="24"/>
        </w:rPr>
        <w:t> </w:t>
      </w:r>
      <w:r>
        <w:rPr>
          <w:sz w:val="24"/>
        </w:rPr>
        <w:t>is</w:t>
      </w:r>
      <w:r>
        <w:rPr>
          <w:spacing w:val="-6"/>
          <w:sz w:val="24"/>
        </w:rPr>
        <w:t> </w:t>
      </w:r>
      <w:r>
        <w:rPr>
          <w:sz w:val="24"/>
        </w:rPr>
        <w:t>reviewed</w:t>
      </w:r>
      <w:r>
        <w:rPr>
          <w:spacing w:val="-6"/>
          <w:sz w:val="24"/>
        </w:rPr>
        <w:t> </w:t>
      </w:r>
      <w:r>
        <w:rPr>
          <w:sz w:val="24"/>
        </w:rPr>
        <w:t>at</w:t>
      </w:r>
      <w:r>
        <w:rPr>
          <w:spacing w:val="-5"/>
          <w:sz w:val="24"/>
        </w:rPr>
        <w:t> </w:t>
      </w:r>
      <w:r>
        <w:rPr>
          <w:sz w:val="24"/>
        </w:rPr>
        <w:t>intake</w:t>
      </w:r>
      <w:r>
        <w:rPr>
          <w:spacing w:val="-3"/>
          <w:sz w:val="24"/>
        </w:rPr>
        <w:t> </w:t>
      </w:r>
      <w:r>
        <w:rPr>
          <w:sz w:val="24"/>
        </w:rPr>
        <w:t>and</w:t>
      </w:r>
      <w:r>
        <w:rPr>
          <w:spacing w:val="-4"/>
          <w:sz w:val="24"/>
        </w:rPr>
        <w:t> </w:t>
      </w:r>
      <w:r>
        <w:rPr>
          <w:sz w:val="24"/>
        </w:rPr>
        <w:t>annually</w:t>
      </w:r>
      <w:r>
        <w:rPr>
          <w:spacing w:val="-3"/>
          <w:sz w:val="24"/>
        </w:rPr>
        <w:t> </w:t>
      </w:r>
      <w:r>
        <w:rPr>
          <w:sz w:val="24"/>
        </w:rPr>
        <w:t>thereafter.</w:t>
      </w:r>
    </w:p>
    <w:p>
      <w:pPr>
        <w:pStyle w:val="BodyText"/>
        <w:spacing w:before="10"/>
        <w:rPr>
          <w:sz w:val="23"/>
        </w:rPr>
      </w:pPr>
    </w:p>
    <w:p>
      <w:pPr>
        <w:pStyle w:val="ListParagraph"/>
        <w:numPr>
          <w:ilvl w:val="0"/>
          <w:numId w:val="1"/>
        </w:numPr>
        <w:tabs>
          <w:tab w:pos="918" w:val="left" w:leader="none"/>
        </w:tabs>
        <w:spacing w:line="240" w:lineRule="auto" w:before="1" w:after="0"/>
        <w:ind w:left="918" w:right="239" w:hanging="360"/>
        <w:jc w:val="both"/>
        <w:rPr>
          <w:sz w:val="24"/>
        </w:rPr>
      </w:pPr>
      <w:r>
        <w:rPr>
          <w:sz w:val="24"/>
        </w:rPr>
        <w:t>Any suspicion regarding the violation of resident/participant rights is to be reported via the Agency incident reporting system as soon as it became a concern, in order that it is thoroughly investigated.</w:t>
      </w:r>
    </w:p>
    <w:p>
      <w:pPr>
        <w:pStyle w:val="BodyText"/>
      </w:pPr>
    </w:p>
    <w:p>
      <w:pPr>
        <w:pStyle w:val="ListParagraph"/>
        <w:numPr>
          <w:ilvl w:val="0"/>
          <w:numId w:val="1"/>
        </w:numPr>
        <w:tabs>
          <w:tab w:pos="918" w:val="left" w:leader="none"/>
        </w:tabs>
        <w:spacing w:line="240" w:lineRule="auto" w:before="0" w:after="0"/>
        <w:ind w:left="918" w:right="242" w:hanging="360"/>
        <w:jc w:val="left"/>
        <w:rPr>
          <w:sz w:val="24"/>
        </w:rPr>
      </w:pPr>
      <w:r>
        <w:rPr>
          <w:sz w:val="24"/>
        </w:rPr>
        <w:t>The Manager/Director and/or designate will ensure the situation will be responded to and resolved</w:t>
      </w:r>
      <w:r>
        <w:rPr>
          <w:spacing w:val="2"/>
          <w:sz w:val="24"/>
        </w:rPr>
        <w:t> </w:t>
      </w:r>
      <w:r>
        <w:rPr>
          <w:spacing w:val="-3"/>
          <w:sz w:val="24"/>
        </w:rPr>
        <w:t>quickly.</w:t>
      </w:r>
    </w:p>
    <w:p>
      <w:pPr>
        <w:pStyle w:val="BodyText"/>
        <w:spacing w:before="11"/>
        <w:rPr>
          <w:sz w:val="23"/>
        </w:rPr>
      </w:pPr>
    </w:p>
    <w:p>
      <w:pPr>
        <w:pStyle w:val="ListParagraph"/>
        <w:numPr>
          <w:ilvl w:val="0"/>
          <w:numId w:val="1"/>
        </w:numPr>
        <w:tabs>
          <w:tab w:pos="918" w:val="left" w:leader="none"/>
        </w:tabs>
        <w:spacing w:line="240" w:lineRule="auto" w:before="0" w:after="0"/>
        <w:ind w:left="918" w:right="121" w:hanging="360"/>
        <w:jc w:val="left"/>
        <w:rPr>
          <w:sz w:val="24"/>
        </w:rPr>
      </w:pPr>
      <w:r>
        <w:rPr>
          <w:sz w:val="24"/>
        </w:rPr>
        <w:t>Should a resident/participant disclose a violation of their rights to a staff member, it is that staff member’s responsibility to initiate the Agency incident reporting</w:t>
      </w:r>
      <w:r>
        <w:rPr>
          <w:spacing w:val="-36"/>
          <w:sz w:val="24"/>
        </w:rPr>
        <w:t> </w:t>
      </w:r>
      <w:r>
        <w:rPr>
          <w:sz w:val="24"/>
        </w:rPr>
        <w:t>system.</w:t>
      </w:r>
    </w:p>
    <w:p>
      <w:pPr>
        <w:pStyle w:val="BodyText"/>
        <w:spacing w:before="11"/>
        <w:rPr>
          <w:sz w:val="23"/>
        </w:rPr>
      </w:pPr>
    </w:p>
    <w:p>
      <w:pPr>
        <w:pStyle w:val="ListParagraph"/>
        <w:numPr>
          <w:ilvl w:val="0"/>
          <w:numId w:val="1"/>
        </w:numPr>
        <w:tabs>
          <w:tab w:pos="918" w:val="left" w:leader="none"/>
        </w:tabs>
        <w:spacing w:line="240" w:lineRule="auto" w:before="0" w:after="0"/>
        <w:ind w:left="918" w:right="122" w:hanging="360"/>
        <w:jc w:val="left"/>
        <w:rPr>
          <w:sz w:val="24"/>
        </w:rPr>
      </w:pPr>
      <w:r>
        <w:rPr>
          <w:sz w:val="24"/>
        </w:rPr>
        <w:t>The Executive Director and/or designate is accountable to report any Serious Occurrences to the Ministry of Social</w:t>
      </w:r>
      <w:r>
        <w:rPr>
          <w:spacing w:val="-9"/>
          <w:sz w:val="24"/>
        </w:rPr>
        <w:t> </w:t>
      </w:r>
      <w:r>
        <w:rPr>
          <w:sz w:val="24"/>
        </w:rPr>
        <w:t>Services.</w:t>
      </w:r>
    </w:p>
    <w:sectPr>
      <w:type w:val="continuous"/>
      <w:pgSz w:w="11910" w:h="16840"/>
      <w:pgMar w:top="840" w:bottom="280" w:left="7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18" w:hanging="360"/>
        <w:jc w:val="left"/>
      </w:pPr>
      <w:rPr>
        <w:rFonts w:hint="default"/>
        <w:spacing w:val="-17"/>
        <w:w w:val="100"/>
      </w:rPr>
    </w:lvl>
    <w:lvl w:ilvl="1">
      <w:start w:val="0"/>
      <w:numFmt w:val="bullet"/>
      <w:lvlText w:val="•"/>
      <w:lvlJc w:val="left"/>
      <w:pPr>
        <w:ind w:left="1886" w:hanging="360"/>
      </w:pPr>
      <w:rPr>
        <w:rFonts w:hint="default"/>
      </w:rPr>
    </w:lvl>
    <w:lvl w:ilvl="2">
      <w:start w:val="0"/>
      <w:numFmt w:val="bullet"/>
      <w:lvlText w:val="•"/>
      <w:lvlJc w:val="left"/>
      <w:pPr>
        <w:ind w:left="2853" w:hanging="360"/>
      </w:pPr>
      <w:rPr>
        <w:rFonts w:hint="default"/>
      </w:rPr>
    </w:lvl>
    <w:lvl w:ilvl="3">
      <w:start w:val="0"/>
      <w:numFmt w:val="bullet"/>
      <w:lvlText w:val="•"/>
      <w:lvlJc w:val="left"/>
      <w:pPr>
        <w:ind w:left="3819" w:hanging="360"/>
      </w:pPr>
      <w:rPr>
        <w:rFonts w:hint="default"/>
      </w:rPr>
    </w:lvl>
    <w:lvl w:ilvl="4">
      <w:start w:val="0"/>
      <w:numFmt w:val="bullet"/>
      <w:lvlText w:val="•"/>
      <w:lvlJc w:val="left"/>
      <w:pPr>
        <w:ind w:left="4786" w:hanging="360"/>
      </w:pPr>
      <w:rPr>
        <w:rFonts w:hint="default"/>
      </w:rPr>
    </w:lvl>
    <w:lvl w:ilvl="5">
      <w:start w:val="0"/>
      <w:numFmt w:val="bullet"/>
      <w:lvlText w:val="•"/>
      <w:lvlJc w:val="left"/>
      <w:pPr>
        <w:ind w:left="5752" w:hanging="360"/>
      </w:pPr>
      <w:rPr>
        <w:rFonts w:hint="default"/>
      </w:rPr>
    </w:lvl>
    <w:lvl w:ilvl="6">
      <w:start w:val="0"/>
      <w:numFmt w:val="bullet"/>
      <w:lvlText w:val="•"/>
      <w:lvlJc w:val="left"/>
      <w:pPr>
        <w:ind w:left="6719" w:hanging="360"/>
      </w:pPr>
      <w:rPr>
        <w:rFonts w:hint="default"/>
      </w:rPr>
    </w:lvl>
    <w:lvl w:ilvl="7">
      <w:start w:val="0"/>
      <w:numFmt w:val="bullet"/>
      <w:lvlText w:val="•"/>
      <w:lvlJc w:val="left"/>
      <w:pPr>
        <w:ind w:left="7685" w:hanging="360"/>
      </w:pPr>
      <w:rPr>
        <w:rFonts w:hint="default"/>
      </w:rPr>
    </w:lvl>
    <w:lvl w:ilvl="8">
      <w:start w:val="0"/>
      <w:numFmt w:val="bullet"/>
      <w:lvlText w:val="•"/>
      <w:lvlJc w:val="left"/>
      <w:pPr>
        <w:ind w:left="865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558" w:right="3239"/>
      <w:jc w:val="center"/>
      <w:outlineLvl w:val="1"/>
    </w:pPr>
    <w:rPr>
      <w:rFonts w:ascii="Times New Roman" w:hAnsi="Times New Roman" w:eastAsia="Times New Roman" w:cs="Times New Roman"/>
      <w:b/>
      <w:bCs/>
      <w:sz w:val="36"/>
      <w:szCs w:val="36"/>
    </w:rPr>
  </w:style>
  <w:style w:styleId="ListParagraph" w:type="paragraph">
    <w:name w:val="List Paragraph"/>
    <w:basedOn w:val="Normal"/>
    <w:uiPriority w:val="1"/>
    <w:qFormat/>
    <w:pPr>
      <w:ind w:left="918" w:right="110" w:hanging="360"/>
    </w:pPr>
    <w:rPr>
      <w:rFonts w:ascii="Times New Roman" w:hAnsi="Times New Roman" w:eastAsia="Times New Roman" w:cs="Times New Roman"/>
    </w:rPr>
  </w:style>
  <w:style w:styleId="TableParagraph" w:type="paragraph">
    <w:name w:val="Table Paragraph"/>
    <w:basedOn w:val="Normal"/>
    <w:uiPriority w:val="1"/>
    <w:qFormat/>
    <w:pPr>
      <w:spacing w:before="17"/>
      <w:ind w:left="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2019-02-05T11:53:44Z</dcterms:created>
  <dcterms:modified xsi:type="dcterms:W3CDTF">2019-02-05T11:53:44Z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TCPDF</vt:lpwstr>
  </property>
  <property fmtid="{D5CDD505-2E9C-101B-9397-08002B2CF9AE}" pid="4" name="LastSaved">
    <vt:filetime>2019-02-05T00:00:00Z</vt:filetime>
  </property>
</Properties>
</file>