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sz w:val="14"/>
        </w:rPr>
      </w:pPr>
    </w:p>
    <w:tbl>
      <w:tblPr>
        <w:tblW w:w="0" w:type="auto"/>
        <w:jc w:val="left"/>
        <w:tblInd w:w="264" w:type="dxa"/>
        <w:tblBorders>
          <w:top w:val="single" w:sz="13" w:space="0" w:color="000000"/>
          <w:left w:val="single" w:sz="13" w:space="0" w:color="000000"/>
          <w:bottom w:val="single" w:sz="13" w:space="0" w:color="000000"/>
          <w:right w:val="single" w:sz="13" w:space="0" w:color="000000"/>
          <w:insideH w:val="single" w:sz="13" w:space="0" w:color="000000"/>
          <w:insideV w:val="single" w:sz="13" w:space="0" w:color="000000"/>
        </w:tblBorders>
        <w:tblLayout w:type="fixed"/>
        <w:tblCellMar>
          <w:top w:w="0" w:type="dxa"/>
          <w:left w:w="0" w:type="dxa"/>
          <w:bottom w:w="0" w:type="dxa"/>
          <w:right w:w="0" w:type="dxa"/>
        </w:tblCellMar>
        <w:tblLook w:val="01E0"/>
      </w:tblPr>
      <w:tblGrid>
        <w:gridCol w:w="5074"/>
        <w:gridCol w:w="5074"/>
      </w:tblGrid>
      <w:tr>
        <w:trPr>
          <w:trHeight w:val="356" w:hRule="exact"/>
        </w:trPr>
        <w:tc>
          <w:tcPr>
            <w:tcW w:w="5074" w:type="dxa"/>
          </w:tcPr>
          <w:p>
            <w:pPr>
              <w:pStyle w:val="TableParagraph"/>
              <w:spacing w:before="25"/>
              <w:ind w:left="15"/>
              <w:rPr>
                <w:sz w:val="24"/>
              </w:rPr>
            </w:pPr>
            <w:r>
              <w:rPr>
                <w:sz w:val="24"/>
              </w:rPr>
              <w:t>Manual:  BV Operational Policies</w:t>
            </w:r>
          </w:p>
        </w:tc>
        <w:tc>
          <w:tcPr>
            <w:tcW w:w="5074" w:type="dxa"/>
          </w:tcPr>
          <w:p>
            <w:pPr>
              <w:pStyle w:val="TableParagraph"/>
              <w:spacing w:before="25"/>
              <w:rPr>
                <w:sz w:val="24"/>
              </w:rPr>
            </w:pPr>
            <w:r>
              <w:rPr>
                <w:sz w:val="24"/>
              </w:rPr>
              <w:t>Section: Programs</w:t>
            </w:r>
          </w:p>
        </w:tc>
      </w:tr>
      <w:tr>
        <w:trPr>
          <w:trHeight w:val="648" w:hRule="exact"/>
        </w:trPr>
        <w:tc>
          <w:tcPr>
            <w:tcW w:w="5074" w:type="dxa"/>
          </w:tcPr>
          <w:p>
            <w:pPr>
              <w:pStyle w:val="TableParagraph"/>
              <w:spacing w:line="261" w:lineRule="auto"/>
              <w:ind w:left="15" w:right="3332"/>
              <w:rPr>
                <w:sz w:val="24"/>
              </w:rPr>
            </w:pPr>
            <w:r>
              <w:rPr>
                <w:sz w:val="24"/>
              </w:rPr>
              <w:t>Approver: Arthur Mathews</w:t>
            </w:r>
          </w:p>
        </w:tc>
        <w:tc>
          <w:tcPr>
            <w:tcW w:w="5074" w:type="dxa"/>
          </w:tcPr>
          <w:p>
            <w:pPr>
              <w:pStyle w:val="TableParagraph"/>
              <w:spacing w:line="261" w:lineRule="auto"/>
              <w:ind w:right="3159"/>
              <w:rPr>
                <w:sz w:val="24"/>
              </w:rPr>
            </w:pPr>
            <w:r>
              <w:rPr>
                <w:sz w:val="24"/>
              </w:rPr>
              <w:t>Original Date: January 16, 2006</w:t>
            </w:r>
          </w:p>
        </w:tc>
      </w:tr>
      <w:tr>
        <w:trPr>
          <w:trHeight w:val="656" w:hRule="exact"/>
        </w:trPr>
        <w:tc>
          <w:tcPr>
            <w:tcW w:w="5074" w:type="dxa"/>
          </w:tcPr>
          <w:p>
            <w:pPr>
              <w:pStyle w:val="TableParagraph"/>
              <w:spacing w:line="261" w:lineRule="auto"/>
              <w:ind w:left="15" w:right="2819"/>
              <w:rPr>
                <w:sz w:val="24"/>
              </w:rPr>
            </w:pPr>
            <w:r>
              <w:rPr>
                <w:sz w:val="24"/>
              </w:rPr>
              <w:t>Date Last Approved: January 3, 2018</w:t>
            </w:r>
          </w:p>
        </w:tc>
        <w:tc>
          <w:tcPr>
            <w:tcW w:w="5074" w:type="dxa"/>
          </w:tcPr>
          <w:p>
            <w:pPr>
              <w:pStyle w:val="TableParagraph"/>
              <w:spacing w:line="261" w:lineRule="auto"/>
              <w:ind w:right="3026"/>
              <w:rPr>
                <w:sz w:val="24"/>
              </w:rPr>
            </w:pPr>
            <w:r>
              <w:rPr>
                <w:sz w:val="24"/>
              </w:rPr>
              <w:t>Next Review Date: January 3, 2019</w:t>
            </w:r>
          </w:p>
        </w:tc>
      </w:tr>
    </w:tbl>
    <w:p>
      <w:pPr>
        <w:pStyle w:val="BodyText"/>
        <w:rPr>
          <w:sz w:val="20"/>
        </w:rPr>
      </w:pPr>
    </w:p>
    <w:p>
      <w:pPr>
        <w:pStyle w:val="BodyText"/>
        <w:rPr>
          <w:sz w:val="20"/>
        </w:rPr>
      </w:pPr>
    </w:p>
    <w:p>
      <w:pPr>
        <w:pStyle w:val="BodyText"/>
        <w:rPr>
          <w:sz w:val="20"/>
        </w:rPr>
      </w:pPr>
    </w:p>
    <w:p>
      <w:pPr>
        <w:pStyle w:val="BodyText"/>
        <w:spacing w:before="7"/>
        <w:rPr>
          <w:sz w:val="21"/>
        </w:rPr>
      </w:pPr>
    </w:p>
    <w:p>
      <w:pPr>
        <w:pStyle w:val="Heading1"/>
        <w:spacing w:before="85"/>
        <w:ind w:right="3221"/>
      </w:pPr>
      <w:r>
        <w:rPr/>
        <w:t>POLICY STATEMENT</w:t>
      </w:r>
    </w:p>
    <w:p>
      <w:pPr>
        <w:pStyle w:val="BodyText"/>
        <w:spacing w:before="270"/>
        <w:ind w:left="558" w:right="217"/>
        <w:jc w:val="both"/>
      </w:pPr>
      <w:r>
        <w:rPr/>
        <w:t>Broadview </w:t>
      </w:r>
      <w:r>
        <w:rPr>
          <w:spacing w:val="-3"/>
        </w:rPr>
        <w:t>Village </w:t>
      </w:r>
      <w:r>
        <w:rPr/>
        <w:t>is committed to responding to all incidents serious in nature by ensuring the health and well-being of residents/participants, investigating the circumstances of the incident, and ensuring prompt follow up. All serious occurrences are reported within set timeframes to the Ministry of Community and Social Services (MCSS), Divisional Headquarters of The Salvation </w:t>
      </w:r>
      <w:r>
        <w:rPr>
          <w:spacing w:val="-4"/>
        </w:rPr>
        <w:t>Army, </w:t>
      </w:r>
      <w:r>
        <w:rPr/>
        <w:t>parent/caregiver and other individuals as appropriate.</w:t>
      </w:r>
    </w:p>
    <w:p>
      <w:pPr>
        <w:pStyle w:val="BodyText"/>
        <w:spacing w:before="5"/>
      </w:pPr>
    </w:p>
    <w:p>
      <w:pPr>
        <w:pStyle w:val="Heading1"/>
      </w:pPr>
      <w:r>
        <w:rPr/>
        <w:t>PROCEDURE</w:t>
      </w:r>
    </w:p>
    <w:p>
      <w:pPr>
        <w:pStyle w:val="BodyText"/>
        <w:spacing w:before="268"/>
        <w:ind w:left="558" w:right="225"/>
        <w:jc w:val="both"/>
      </w:pPr>
      <w:r>
        <w:rPr/>
        <w:t>The Program Directors or designate are responsible to submit all written Serious Occurrence reports, following MCSS procedures.</w:t>
      </w:r>
    </w:p>
    <w:p>
      <w:pPr>
        <w:pStyle w:val="BodyText"/>
        <w:spacing w:before="11"/>
        <w:rPr>
          <w:sz w:val="23"/>
        </w:rPr>
      </w:pPr>
    </w:p>
    <w:p>
      <w:pPr>
        <w:pStyle w:val="BodyText"/>
        <w:ind w:left="558" w:right="223"/>
        <w:jc w:val="both"/>
      </w:pPr>
      <w:r>
        <w:rPr/>
        <w:t>All Serious Occurrences*(3) are to be reported to MCSS within 24 hours via telephone or email via initial serious occurrence report.</w:t>
      </w:r>
    </w:p>
    <w:p>
      <w:pPr>
        <w:pStyle w:val="BodyText"/>
        <w:spacing w:before="11"/>
        <w:rPr>
          <w:sz w:val="23"/>
        </w:rPr>
      </w:pPr>
    </w:p>
    <w:p>
      <w:pPr>
        <w:pStyle w:val="BodyText"/>
        <w:ind w:left="558" w:right="224"/>
        <w:jc w:val="both"/>
      </w:pPr>
      <w:r>
        <w:rPr/>
        <w:t>All Enhanced Serious Occurrences* are to be reported to MCSS within 3 hours via telephone and/or an Enhanced Serious Occurrence Initial Report.</w:t>
      </w:r>
    </w:p>
    <w:p>
      <w:pPr>
        <w:pStyle w:val="BodyText"/>
        <w:spacing w:before="11"/>
        <w:rPr>
          <w:sz w:val="23"/>
        </w:rPr>
      </w:pPr>
    </w:p>
    <w:p>
      <w:pPr>
        <w:pStyle w:val="BodyText"/>
        <w:ind w:left="558" w:right="224"/>
        <w:jc w:val="both"/>
      </w:pPr>
      <w:r>
        <w:rPr/>
        <w:t>In order to adhere to the time frames, staff must report all serious occurrences to management immediately via the most expedient route (i.e. incident report delivered to main house or verbal</w:t>
      </w:r>
      <w:r>
        <w:rPr>
          <w:spacing w:val="-28"/>
        </w:rPr>
        <w:t> </w:t>
      </w:r>
      <w:r>
        <w:rPr/>
        <w:t>report made by telephone, fax or in person to On Call, Executive Director, or Residential/Day Program Director), depending on the time of day it</w:t>
      </w:r>
      <w:r>
        <w:rPr>
          <w:spacing w:val="-15"/>
        </w:rPr>
        <w:t> </w:t>
      </w:r>
      <w:r>
        <w:rPr/>
        <w:t>occurred.</w:t>
      </w:r>
    </w:p>
    <w:p>
      <w:pPr>
        <w:pStyle w:val="BodyText"/>
        <w:spacing w:before="11"/>
        <w:rPr>
          <w:sz w:val="23"/>
        </w:rPr>
      </w:pPr>
    </w:p>
    <w:p>
      <w:pPr>
        <w:pStyle w:val="BodyText"/>
        <w:ind w:left="558" w:right="223"/>
        <w:jc w:val="both"/>
      </w:pPr>
      <w:r>
        <w:rPr/>
        <w:t>There will be a Designated Authority available at all times who is responsible for reporting all Serious Occurrences, including Enhanced Serious Occurrences, within the timelines set by MCSS as outlined:</w:t>
      </w:r>
    </w:p>
    <w:p>
      <w:pPr>
        <w:spacing w:before="3"/>
        <w:ind w:left="3558" w:right="3218" w:firstLine="0"/>
        <w:jc w:val="center"/>
        <w:rPr>
          <w:sz w:val="20"/>
        </w:rPr>
      </w:pPr>
      <w:r>
        <w:rPr>
          <w:sz w:val="20"/>
          <w:u w:val="single"/>
        </w:rPr>
        <w:t>Designated Authority</w:t>
      </w:r>
    </w:p>
    <w:p>
      <w:pPr>
        <w:tabs>
          <w:tab w:pos="3365" w:val="left" w:leader="none"/>
          <w:tab w:pos="5345" w:val="left" w:leader="none"/>
          <w:tab w:pos="5885" w:val="left" w:leader="none"/>
        </w:tabs>
        <w:spacing w:before="73"/>
        <w:ind w:left="1746" w:right="0" w:firstLine="0"/>
        <w:jc w:val="left"/>
        <w:rPr>
          <w:sz w:val="20"/>
        </w:rPr>
      </w:pPr>
      <w:r>
        <w:rPr>
          <w:position w:val="1"/>
          <w:sz w:val="20"/>
        </w:rPr>
        <w:t>Monday</w:t>
      </w:r>
      <w:r>
        <w:rPr>
          <w:spacing w:val="-2"/>
          <w:position w:val="1"/>
          <w:sz w:val="20"/>
        </w:rPr>
        <w:t> </w:t>
      </w:r>
      <w:r>
        <w:rPr>
          <w:position w:val="1"/>
          <w:sz w:val="20"/>
        </w:rPr>
        <w:t>-</w:t>
      </w:r>
      <w:r>
        <w:rPr>
          <w:spacing w:val="-3"/>
          <w:position w:val="1"/>
          <w:sz w:val="20"/>
        </w:rPr>
        <w:t> </w:t>
      </w:r>
      <w:r>
        <w:rPr>
          <w:position w:val="1"/>
          <w:sz w:val="20"/>
        </w:rPr>
        <w:t>Friday</w:t>
        <w:tab/>
        <w:t>8:30 a.m. –</w:t>
      </w:r>
      <w:r>
        <w:rPr>
          <w:spacing w:val="-3"/>
          <w:position w:val="1"/>
          <w:sz w:val="20"/>
        </w:rPr>
        <w:t> </w:t>
      </w:r>
      <w:r>
        <w:rPr>
          <w:position w:val="1"/>
          <w:sz w:val="20"/>
        </w:rPr>
        <w:t>4:30</w:t>
      </w:r>
      <w:r>
        <w:rPr>
          <w:spacing w:val="-1"/>
          <w:position w:val="1"/>
          <w:sz w:val="20"/>
        </w:rPr>
        <w:t> </w:t>
      </w:r>
      <w:r>
        <w:rPr>
          <w:position w:val="1"/>
          <w:sz w:val="20"/>
        </w:rPr>
        <w:t>p.m.</w:t>
        <w:tab/>
      </w:r>
      <w:r>
        <w:rPr>
          <w:rFonts w:ascii="Gill Sans MT" w:hAnsi="Gill Sans MT"/>
          <w:w w:val="95"/>
          <w:position w:val="1"/>
          <w:sz w:val="20"/>
        </w:rPr>
        <w:t></w:t>
        <w:tab/>
      </w:r>
      <w:r>
        <w:rPr>
          <w:sz w:val="20"/>
        </w:rPr>
        <w:t>Residential or Day Program Director (depends</w:t>
      </w:r>
      <w:r>
        <w:rPr>
          <w:spacing w:val="-14"/>
          <w:sz w:val="20"/>
        </w:rPr>
        <w:t> </w:t>
      </w:r>
      <w:r>
        <w:rPr>
          <w:sz w:val="20"/>
        </w:rPr>
        <w:t>on</w:t>
      </w:r>
    </w:p>
    <w:p>
      <w:pPr>
        <w:spacing w:line="328" w:lineRule="auto" w:before="0"/>
        <w:ind w:left="5886" w:right="3042" w:firstLine="0"/>
        <w:jc w:val="left"/>
        <w:rPr>
          <w:sz w:val="20"/>
        </w:rPr>
      </w:pPr>
      <w:r>
        <w:rPr>
          <w:sz w:val="20"/>
        </w:rPr>
        <w:t>location of incident) Executive Director</w:t>
      </w:r>
    </w:p>
    <w:p>
      <w:pPr>
        <w:tabs>
          <w:tab w:pos="5345" w:val="left" w:leader="none"/>
          <w:tab w:pos="5885" w:val="left" w:leader="none"/>
        </w:tabs>
        <w:spacing w:line="223" w:lineRule="exact" w:before="0"/>
        <w:ind w:left="3366" w:right="0" w:firstLine="0"/>
        <w:jc w:val="left"/>
        <w:rPr>
          <w:sz w:val="20"/>
        </w:rPr>
      </w:pPr>
      <w:r>
        <w:rPr>
          <w:sz w:val="20"/>
        </w:rPr>
        <w:t>All</w:t>
      </w:r>
      <w:r>
        <w:rPr>
          <w:spacing w:val="-2"/>
          <w:sz w:val="20"/>
        </w:rPr>
        <w:t> </w:t>
      </w:r>
      <w:r>
        <w:rPr>
          <w:sz w:val="20"/>
        </w:rPr>
        <w:t>other</w:t>
      </w:r>
      <w:r>
        <w:rPr>
          <w:spacing w:val="-3"/>
          <w:sz w:val="20"/>
        </w:rPr>
        <w:t> </w:t>
      </w:r>
      <w:r>
        <w:rPr>
          <w:sz w:val="20"/>
        </w:rPr>
        <w:t>times</w:t>
        <w:tab/>
      </w:r>
      <w:r>
        <w:rPr>
          <w:rFonts w:ascii="Gill Sans MT" w:hAnsi="Gill Sans MT"/>
          <w:w w:val="95"/>
          <w:sz w:val="20"/>
        </w:rPr>
        <w:t></w:t>
        <w:tab/>
      </w:r>
      <w:r>
        <w:rPr>
          <w:sz w:val="20"/>
        </w:rPr>
        <w:t>On Call</w:t>
      </w:r>
      <w:r>
        <w:rPr>
          <w:spacing w:val="-6"/>
          <w:sz w:val="20"/>
        </w:rPr>
        <w:t> </w:t>
      </w:r>
      <w:r>
        <w:rPr>
          <w:sz w:val="20"/>
        </w:rPr>
        <w:t>Manager</w:t>
      </w:r>
    </w:p>
    <w:p>
      <w:pPr>
        <w:pStyle w:val="BodyText"/>
        <w:rPr>
          <w:sz w:val="22"/>
        </w:rPr>
      </w:pPr>
    </w:p>
    <w:p>
      <w:pPr>
        <w:pStyle w:val="BodyText"/>
        <w:spacing w:before="130"/>
        <w:ind w:left="558" w:right="294"/>
      </w:pPr>
      <w:r>
        <w:rPr/>
        <w:t>The Designated Authority is responsible to report all Enhanced Serious Occurrences using procedures outlined by MCSS, found in the On Call binder.</w:t>
      </w:r>
    </w:p>
    <w:p>
      <w:pPr>
        <w:spacing w:after="0"/>
        <w:sectPr>
          <w:headerReference w:type="default" r:id="rId5"/>
          <w:type w:val="continuous"/>
          <w:pgSz w:w="11910" w:h="16840"/>
          <w:pgMar w:header="850" w:top="1600" w:bottom="280" w:left="740" w:right="600"/>
        </w:sectPr>
      </w:pPr>
    </w:p>
    <w:p>
      <w:pPr>
        <w:pStyle w:val="BodyText"/>
        <w:spacing w:before="5"/>
        <w:rPr>
          <w:sz w:val="14"/>
        </w:rPr>
      </w:pPr>
    </w:p>
    <w:tbl>
      <w:tblPr>
        <w:tblW w:w="0" w:type="auto"/>
        <w:jc w:val="left"/>
        <w:tblInd w:w="264" w:type="dxa"/>
        <w:tblBorders>
          <w:top w:val="single" w:sz="13" w:space="0" w:color="000000"/>
          <w:left w:val="single" w:sz="13" w:space="0" w:color="000000"/>
          <w:bottom w:val="single" w:sz="13" w:space="0" w:color="000000"/>
          <w:right w:val="single" w:sz="13" w:space="0" w:color="000000"/>
          <w:insideH w:val="single" w:sz="13" w:space="0" w:color="000000"/>
          <w:insideV w:val="single" w:sz="13" w:space="0" w:color="000000"/>
        </w:tblBorders>
        <w:tblLayout w:type="fixed"/>
        <w:tblCellMar>
          <w:top w:w="0" w:type="dxa"/>
          <w:left w:w="0" w:type="dxa"/>
          <w:bottom w:w="0" w:type="dxa"/>
          <w:right w:w="0" w:type="dxa"/>
        </w:tblCellMar>
        <w:tblLook w:val="01E0"/>
      </w:tblPr>
      <w:tblGrid>
        <w:gridCol w:w="5074"/>
        <w:gridCol w:w="5074"/>
      </w:tblGrid>
      <w:tr>
        <w:trPr>
          <w:trHeight w:val="356" w:hRule="exact"/>
        </w:trPr>
        <w:tc>
          <w:tcPr>
            <w:tcW w:w="5074" w:type="dxa"/>
          </w:tcPr>
          <w:p>
            <w:pPr>
              <w:pStyle w:val="TableParagraph"/>
              <w:spacing w:before="25"/>
              <w:ind w:left="15"/>
              <w:rPr>
                <w:sz w:val="24"/>
              </w:rPr>
            </w:pPr>
            <w:r>
              <w:rPr>
                <w:sz w:val="24"/>
              </w:rPr>
              <w:t>Manual:  BV Operational Policies</w:t>
            </w:r>
          </w:p>
        </w:tc>
        <w:tc>
          <w:tcPr>
            <w:tcW w:w="5074" w:type="dxa"/>
          </w:tcPr>
          <w:p>
            <w:pPr>
              <w:pStyle w:val="TableParagraph"/>
              <w:spacing w:before="25"/>
              <w:rPr>
                <w:sz w:val="24"/>
              </w:rPr>
            </w:pPr>
            <w:r>
              <w:rPr>
                <w:sz w:val="24"/>
              </w:rPr>
              <w:t>Section: Programs</w:t>
            </w:r>
          </w:p>
        </w:tc>
      </w:tr>
      <w:tr>
        <w:trPr>
          <w:trHeight w:val="648" w:hRule="exact"/>
        </w:trPr>
        <w:tc>
          <w:tcPr>
            <w:tcW w:w="5074" w:type="dxa"/>
          </w:tcPr>
          <w:p>
            <w:pPr>
              <w:pStyle w:val="TableParagraph"/>
              <w:spacing w:line="261" w:lineRule="auto"/>
              <w:ind w:left="15" w:right="3332"/>
              <w:rPr>
                <w:sz w:val="24"/>
              </w:rPr>
            </w:pPr>
            <w:r>
              <w:rPr>
                <w:sz w:val="24"/>
              </w:rPr>
              <w:t>Approver: Arthur Mathews</w:t>
            </w:r>
          </w:p>
        </w:tc>
        <w:tc>
          <w:tcPr>
            <w:tcW w:w="5074" w:type="dxa"/>
          </w:tcPr>
          <w:p>
            <w:pPr>
              <w:pStyle w:val="TableParagraph"/>
              <w:spacing w:line="261" w:lineRule="auto"/>
              <w:ind w:right="3159"/>
              <w:rPr>
                <w:sz w:val="24"/>
              </w:rPr>
            </w:pPr>
            <w:r>
              <w:rPr>
                <w:sz w:val="24"/>
              </w:rPr>
              <w:t>Original Date: January 16, 2006</w:t>
            </w:r>
          </w:p>
        </w:tc>
      </w:tr>
      <w:tr>
        <w:trPr>
          <w:trHeight w:val="656" w:hRule="exact"/>
        </w:trPr>
        <w:tc>
          <w:tcPr>
            <w:tcW w:w="5074" w:type="dxa"/>
          </w:tcPr>
          <w:p>
            <w:pPr>
              <w:pStyle w:val="TableParagraph"/>
              <w:spacing w:line="261" w:lineRule="auto"/>
              <w:ind w:left="15" w:right="2819"/>
              <w:rPr>
                <w:sz w:val="24"/>
              </w:rPr>
            </w:pPr>
            <w:r>
              <w:rPr>
                <w:sz w:val="24"/>
              </w:rPr>
              <w:t>Date Last Approved: January 3, 2018</w:t>
            </w:r>
          </w:p>
        </w:tc>
        <w:tc>
          <w:tcPr>
            <w:tcW w:w="5074" w:type="dxa"/>
          </w:tcPr>
          <w:p>
            <w:pPr>
              <w:pStyle w:val="TableParagraph"/>
              <w:spacing w:line="261" w:lineRule="auto"/>
              <w:ind w:right="3026"/>
              <w:rPr>
                <w:sz w:val="24"/>
              </w:rPr>
            </w:pPr>
            <w:r>
              <w:rPr>
                <w:sz w:val="24"/>
              </w:rPr>
              <w:t>Next Review Date: January 3, 2019</w:t>
            </w:r>
          </w:p>
        </w:tc>
      </w:tr>
    </w:tbl>
    <w:p>
      <w:pPr>
        <w:pStyle w:val="BodyText"/>
        <w:rPr>
          <w:sz w:val="20"/>
        </w:rPr>
      </w:pPr>
    </w:p>
    <w:p>
      <w:pPr>
        <w:pStyle w:val="BodyText"/>
        <w:rPr>
          <w:sz w:val="20"/>
        </w:rPr>
      </w:pPr>
    </w:p>
    <w:p>
      <w:pPr>
        <w:pStyle w:val="BodyText"/>
        <w:rPr>
          <w:sz w:val="17"/>
        </w:rPr>
      </w:pPr>
    </w:p>
    <w:p>
      <w:pPr>
        <w:pStyle w:val="BodyText"/>
        <w:spacing w:before="90"/>
        <w:ind w:left="558"/>
      </w:pPr>
      <w:r>
        <w:rPr/>
        <w:t>The Residential Program Director will ensure that any revisions to MCSS Serious Occurrence procedures are placed in the On Call binder.</w:t>
      </w:r>
    </w:p>
    <w:p>
      <w:pPr>
        <w:pStyle w:val="BodyText"/>
        <w:spacing w:before="5"/>
        <w:rPr>
          <w:sz w:val="30"/>
        </w:rPr>
      </w:pPr>
    </w:p>
    <w:p>
      <w:pPr>
        <w:spacing w:line="204" w:lineRule="exact" w:before="1"/>
        <w:ind w:left="558" w:right="0" w:firstLine="0"/>
        <w:jc w:val="left"/>
        <w:rPr>
          <w:sz w:val="18"/>
        </w:rPr>
      </w:pPr>
      <w:r>
        <w:rPr>
          <w:sz w:val="18"/>
        </w:rPr>
        <w:t>*(3) List of Reportable Serious Occurrences may be obtained from the Program/Day Program Director and is included in the On-Call manual.</w:t>
      </w:r>
    </w:p>
    <w:sectPr>
      <w:pgSz w:w="11910" w:h="16840"/>
      <w:pgMar w:header="850" w:footer="0" w:top="1600" w:bottom="280" w:left="74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ill Sans MT">
    <w:altName w:val="Gill Sans MT"/>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31911">
          <wp:simplePos x="0" y="0"/>
          <wp:positionH relativeFrom="page">
            <wp:posOffset>539999</wp:posOffset>
          </wp:positionH>
          <wp:positionV relativeFrom="page">
            <wp:posOffset>540000</wp:posOffset>
          </wp:positionV>
          <wp:extent cx="497839" cy="487679"/>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497839" cy="487679"/>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94.503624pt;margin-top:51.419987pt;width:229.35pt;height:23.45pt;mso-position-horizontal-relative:page;mso-position-vertical-relative:page;z-index:-3520" type="#_x0000_t202" filled="false" stroked="false">
          <v:textbox inset="0,0,0,0">
            <w:txbxContent>
              <w:p>
                <w:pPr>
                  <w:spacing w:before="11"/>
                  <w:ind w:left="20" w:right="0" w:firstLine="0"/>
                  <w:jc w:val="left"/>
                  <w:rPr>
                    <w:rFonts w:ascii="Arial"/>
                    <w:sz w:val="38"/>
                  </w:rPr>
                </w:pPr>
                <w:r>
                  <w:rPr>
                    <w:rFonts w:ascii="Arial"/>
                    <w:sz w:val="38"/>
                  </w:rPr>
                  <w:t>2.1.9 Serious Occurrences</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
      <w:ind w:left="3558" w:right="3219"/>
      <w:jc w:val="center"/>
      <w:outlineLvl w:val="1"/>
    </w:pPr>
    <w:rPr>
      <w:rFonts w:ascii="Times New Roman" w:hAnsi="Times New Roman" w:eastAsia="Times New Roman" w:cs="Times New Roman"/>
      <w:b/>
      <w:bCs/>
      <w:sz w:val="36"/>
      <w:szCs w:val="36"/>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7"/>
      <w:ind w:left="8"/>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2019-02-05T11:42:54Z</dcterms:created>
  <dcterms:modified xsi:type="dcterms:W3CDTF">2019-02-05T11:42:54Z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2019-02-01T00:00:00Z</vt:filetime>
  </property>
  <property fmtid="{D5CDD505-2E9C-101B-9397-08002B2CF9AE}" pid="3" name="Creator">
    <vt:lpwstr>TCPDF</vt:lpwstr>
  </property>
  <property fmtid="{D5CDD505-2E9C-101B-9397-08002B2CF9AE}" pid="4" name="LastSaved">
    <vt:filetime>2019-02-05T00:00:00Z</vt:filetime>
  </property>
</Properties>
</file>