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1"/>
        <w:ind w:left="1170" w:right="0" w:firstLine="0"/>
        <w:jc w:val="left"/>
        <w:rPr>
          <w:rFonts w:ascii="Arial"/>
          <w:sz w:val="38"/>
        </w:rPr>
      </w:pPr>
      <w:r>
        <w:rPr/>
        <w:drawing>
          <wp:anchor distT="0" distB="0" distL="0" distR="0" allowOverlap="1" layoutInCell="1" locked="0" behindDoc="0" simplePos="0" relativeHeight="0">
            <wp:simplePos x="0" y="0"/>
            <wp:positionH relativeFrom="page">
              <wp:posOffset>539999</wp:posOffset>
            </wp:positionH>
            <wp:positionV relativeFrom="paragraph">
              <wp:posOffset>-5203</wp:posOffset>
            </wp:positionV>
            <wp:extent cx="497839" cy="48767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97839" cy="487679"/>
                    </a:xfrm>
                    <a:prstGeom prst="rect">
                      <a:avLst/>
                    </a:prstGeom>
                  </pic:spPr>
                </pic:pic>
              </a:graphicData>
            </a:graphic>
          </wp:anchor>
        </w:drawing>
      </w:r>
      <w:r>
        <w:rPr>
          <w:rFonts w:ascii="Arial"/>
          <w:sz w:val="38"/>
        </w:rPr>
        <w:t>9.8 Medication Storage and</w:t>
      </w:r>
      <w:r>
        <w:rPr>
          <w:rFonts w:ascii="Arial"/>
          <w:spacing w:val="64"/>
          <w:sz w:val="38"/>
        </w:rPr>
        <w:t> </w:t>
      </w:r>
      <w:r>
        <w:rPr>
          <w:rFonts w:ascii="Arial"/>
          <w:sz w:val="38"/>
        </w:rPr>
        <w:t>Disposal</w:t>
      </w:r>
    </w:p>
    <w:p>
      <w:pPr>
        <w:pStyle w:val="BodyText"/>
        <w:spacing w:before="8"/>
        <w:rPr>
          <w:rFonts w:ascii="Arial"/>
          <w:sz w:val="26"/>
        </w:rPr>
      </w:pPr>
    </w:p>
    <w:tbl>
      <w:tblPr>
        <w:tblW w:w="0" w:type="auto"/>
        <w:jc w:val="left"/>
        <w:tblInd w:w="264"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top w:w="0" w:type="dxa"/>
          <w:left w:w="0" w:type="dxa"/>
          <w:bottom w:w="0" w:type="dxa"/>
          <w:right w:w="0" w:type="dxa"/>
        </w:tblCellMar>
        <w:tblLook w:val="01E0"/>
      </w:tblPr>
      <w:tblGrid>
        <w:gridCol w:w="5074"/>
        <w:gridCol w:w="5074"/>
      </w:tblGrid>
      <w:tr>
        <w:trPr>
          <w:trHeight w:val="356" w:hRule="exact"/>
        </w:trPr>
        <w:tc>
          <w:tcPr>
            <w:tcW w:w="5074" w:type="dxa"/>
          </w:tcPr>
          <w:p>
            <w:pPr>
              <w:pStyle w:val="TableParagraph"/>
              <w:spacing w:before="25"/>
              <w:ind w:left="15"/>
              <w:rPr>
                <w:sz w:val="24"/>
              </w:rPr>
            </w:pPr>
            <w:r>
              <w:rPr>
                <w:sz w:val="24"/>
              </w:rPr>
              <w:t>Manual:  BV Operational Policies</w:t>
            </w:r>
          </w:p>
        </w:tc>
        <w:tc>
          <w:tcPr>
            <w:tcW w:w="5074" w:type="dxa"/>
          </w:tcPr>
          <w:p>
            <w:pPr>
              <w:pStyle w:val="TableParagraph"/>
              <w:spacing w:before="25"/>
              <w:rPr>
                <w:sz w:val="24"/>
              </w:rPr>
            </w:pPr>
            <w:r>
              <w:rPr>
                <w:sz w:val="24"/>
              </w:rPr>
              <w:t>Section: Medications</w:t>
            </w:r>
          </w:p>
        </w:tc>
      </w:tr>
      <w:tr>
        <w:trPr>
          <w:trHeight w:val="648" w:hRule="exact"/>
        </w:trPr>
        <w:tc>
          <w:tcPr>
            <w:tcW w:w="5074" w:type="dxa"/>
          </w:tcPr>
          <w:p>
            <w:pPr>
              <w:pStyle w:val="TableParagraph"/>
              <w:spacing w:line="261" w:lineRule="auto"/>
              <w:ind w:left="15" w:right="3332"/>
              <w:rPr>
                <w:sz w:val="24"/>
              </w:rPr>
            </w:pPr>
            <w:r>
              <w:rPr>
                <w:sz w:val="24"/>
              </w:rPr>
              <w:t>Approver: Arthur Mathews</w:t>
            </w:r>
          </w:p>
        </w:tc>
        <w:tc>
          <w:tcPr>
            <w:tcW w:w="5074" w:type="dxa"/>
          </w:tcPr>
          <w:p>
            <w:pPr>
              <w:pStyle w:val="TableParagraph"/>
              <w:spacing w:line="261" w:lineRule="auto"/>
              <w:ind w:right="2972"/>
              <w:rPr>
                <w:sz w:val="24"/>
              </w:rPr>
            </w:pPr>
            <w:r>
              <w:rPr>
                <w:sz w:val="24"/>
              </w:rPr>
              <w:t>Original Date: September 1, 2007</w:t>
            </w:r>
          </w:p>
        </w:tc>
      </w:tr>
      <w:tr>
        <w:trPr>
          <w:trHeight w:val="656" w:hRule="exact"/>
        </w:trPr>
        <w:tc>
          <w:tcPr>
            <w:tcW w:w="5074" w:type="dxa"/>
          </w:tcPr>
          <w:p>
            <w:pPr>
              <w:pStyle w:val="TableParagraph"/>
              <w:spacing w:line="261" w:lineRule="auto"/>
              <w:ind w:left="15" w:right="2819"/>
              <w:rPr>
                <w:sz w:val="24"/>
              </w:rPr>
            </w:pPr>
            <w:r>
              <w:rPr>
                <w:sz w:val="24"/>
              </w:rPr>
              <w:t>Date Last Approved: April 6, 2018</w:t>
            </w:r>
          </w:p>
        </w:tc>
        <w:tc>
          <w:tcPr>
            <w:tcW w:w="5074" w:type="dxa"/>
          </w:tcPr>
          <w:p>
            <w:pPr>
              <w:pStyle w:val="TableParagraph"/>
              <w:spacing w:line="261" w:lineRule="auto"/>
              <w:ind w:right="3026"/>
              <w:rPr>
                <w:sz w:val="24"/>
              </w:rPr>
            </w:pPr>
            <w:r>
              <w:rPr>
                <w:sz w:val="24"/>
              </w:rPr>
              <w:t>Next Review Date: April 6, 2019</w:t>
            </w:r>
          </w:p>
        </w:tc>
      </w:tr>
    </w:tbl>
    <w:p>
      <w:pPr>
        <w:pStyle w:val="BodyText"/>
        <w:rPr>
          <w:rFonts w:ascii="Arial"/>
          <w:sz w:val="42"/>
        </w:rPr>
      </w:pPr>
    </w:p>
    <w:p>
      <w:pPr>
        <w:pStyle w:val="BodyText"/>
        <w:rPr>
          <w:rFonts w:ascii="Arial"/>
          <w:sz w:val="42"/>
        </w:rPr>
      </w:pPr>
    </w:p>
    <w:p>
      <w:pPr>
        <w:pStyle w:val="Heading1"/>
        <w:spacing w:before="377"/>
        <w:ind w:right="3501"/>
      </w:pPr>
      <w:r>
        <w:rPr/>
        <w:t>POLICY STATEMENT</w:t>
      </w:r>
    </w:p>
    <w:p>
      <w:pPr>
        <w:pStyle w:val="BodyText"/>
        <w:spacing w:line="242" w:lineRule="auto" w:before="285"/>
        <w:ind w:left="701" w:right="259"/>
      </w:pPr>
      <w:r>
        <w:rPr/>
        <w:t>Staff are to ensure the safe and proper storage of all medication, including OTC medication, and safe disposal of all medications that are expired/discontinued.</w:t>
      </w:r>
    </w:p>
    <w:p>
      <w:pPr>
        <w:pStyle w:val="BodyText"/>
        <w:rPr>
          <w:sz w:val="26"/>
        </w:rPr>
      </w:pPr>
    </w:p>
    <w:p>
      <w:pPr>
        <w:pStyle w:val="BodyText"/>
        <w:spacing w:before="10"/>
        <w:rPr>
          <w:sz w:val="33"/>
        </w:rPr>
      </w:pPr>
    </w:p>
    <w:p>
      <w:pPr>
        <w:pStyle w:val="Heading1"/>
      </w:pPr>
      <w:r>
        <w:rPr/>
        <w:t>PROCEDURES</w:t>
      </w:r>
    </w:p>
    <w:p>
      <w:pPr>
        <w:pStyle w:val="ListParagraph"/>
        <w:numPr>
          <w:ilvl w:val="0"/>
          <w:numId w:val="1"/>
        </w:numPr>
        <w:tabs>
          <w:tab w:pos="1062" w:val="left" w:leader="none"/>
        </w:tabs>
        <w:spacing w:line="242" w:lineRule="auto" w:before="284" w:after="0"/>
        <w:ind w:left="1062" w:right="296" w:hanging="360"/>
        <w:jc w:val="both"/>
        <w:rPr>
          <w:sz w:val="24"/>
        </w:rPr>
      </w:pPr>
      <w:r>
        <w:rPr>
          <w:sz w:val="24"/>
        </w:rPr>
        <w:t>All medications will be stored in a locked area. Medications requiring refrigeration will be kept in a locked box inside a refrigerator.  Narcotics must be double</w:t>
      </w:r>
      <w:r>
        <w:rPr>
          <w:spacing w:val="-33"/>
          <w:sz w:val="24"/>
        </w:rPr>
        <w:t> </w:t>
      </w:r>
      <w:r>
        <w:rPr>
          <w:sz w:val="24"/>
        </w:rPr>
        <w:t>locked.</w:t>
      </w:r>
    </w:p>
    <w:p>
      <w:pPr>
        <w:pStyle w:val="BodyText"/>
        <w:spacing w:before="7"/>
      </w:pPr>
    </w:p>
    <w:p>
      <w:pPr>
        <w:pStyle w:val="ListParagraph"/>
        <w:numPr>
          <w:ilvl w:val="0"/>
          <w:numId w:val="1"/>
        </w:numPr>
        <w:tabs>
          <w:tab w:pos="1062" w:val="left" w:leader="none"/>
        </w:tabs>
        <w:spacing w:line="244" w:lineRule="auto" w:before="0" w:after="0"/>
        <w:ind w:left="1062" w:right="526" w:hanging="360"/>
        <w:jc w:val="both"/>
        <w:rPr>
          <w:sz w:val="24"/>
        </w:rPr>
      </w:pPr>
      <w:r>
        <w:rPr>
          <w:sz w:val="24"/>
        </w:rPr>
        <w:t>Each site will ensure staff have access to locked medication areas and there is a back-up plan for emergency</w:t>
      </w:r>
      <w:r>
        <w:rPr>
          <w:spacing w:val="-11"/>
          <w:sz w:val="24"/>
        </w:rPr>
        <w:t> </w:t>
      </w:r>
      <w:r>
        <w:rPr>
          <w:sz w:val="24"/>
        </w:rPr>
        <w:t>access.</w:t>
      </w:r>
    </w:p>
    <w:p>
      <w:pPr>
        <w:pStyle w:val="BodyText"/>
        <w:spacing w:before="4"/>
      </w:pPr>
    </w:p>
    <w:p>
      <w:pPr>
        <w:pStyle w:val="ListParagraph"/>
        <w:numPr>
          <w:ilvl w:val="0"/>
          <w:numId w:val="1"/>
        </w:numPr>
        <w:tabs>
          <w:tab w:pos="1062" w:val="left" w:leader="none"/>
        </w:tabs>
        <w:spacing w:line="244" w:lineRule="auto" w:before="0" w:after="0"/>
        <w:ind w:left="1062" w:right="501" w:hanging="360"/>
        <w:jc w:val="both"/>
        <w:rPr>
          <w:sz w:val="24"/>
        </w:rPr>
      </w:pPr>
      <w:r>
        <w:rPr>
          <w:sz w:val="24"/>
        </w:rPr>
        <w:t>The Prime </w:t>
      </w:r>
      <w:r>
        <w:rPr>
          <w:spacing w:val="-4"/>
          <w:sz w:val="24"/>
        </w:rPr>
        <w:t>Worker </w:t>
      </w:r>
      <w:r>
        <w:rPr>
          <w:sz w:val="24"/>
        </w:rPr>
        <w:t>or designate will check all medication (prescription and OTC) </w:t>
      </w:r>
      <w:r>
        <w:rPr>
          <w:sz w:val="24"/>
          <w:u w:val="single"/>
        </w:rPr>
        <w:t>at the time of administration for discontinued/expired medication. </w:t>
      </w:r>
      <w:r>
        <w:rPr>
          <w:sz w:val="24"/>
        </w:rPr>
        <w:t>Any found to be out of date/discontinued are to be placed in the labelled “Medication Disposal</w:t>
      </w:r>
      <w:r>
        <w:rPr>
          <w:spacing w:val="-24"/>
          <w:sz w:val="24"/>
        </w:rPr>
        <w:t> </w:t>
      </w:r>
      <w:r>
        <w:rPr>
          <w:sz w:val="24"/>
        </w:rPr>
        <w:t>Container”.</w:t>
      </w:r>
    </w:p>
    <w:p>
      <w:pPr>
        <w:pStyle w:val="ListParagraph"/>
        <w:numPr>
          <w:ilvl w:val="0"/>
          <w:numId w:val="1"/>
        </w:numPr>
        <w:tabs>
          <w:tab w:pos="1062" w:val="left" w:leader="none"/>
        </w:tabs>
        <w:spacing w:line="244" w:lineRule="auto" w:before="232" w:after="0"/>
        <w:ind w:left="1062" w:right="508" w:hanging="360"/>
        <w:jc w:val="both"/>
        <w:rPr>
          <w:sz w:val="24"/>
        </w:rPr>
      </w:pPr>
      <w:r>
        <w:rPr>
          <w:sz w:val="24"/>
        </w:rPr>
        <w:t>The </w:t>
      </w:r>
      <w:r>
        <w:rPr>
          <w:sz w:val="24"/>
          <w:u w:val="single"/>
        </w:rPr>
        <w:t>Medication Disposal Container Record </w:t>
      </w:r>
      <w:r>
        <w:rPr>
          <w:sz w:val="24"/>
        </w:rPr>
        <w:t>form (see Appendix 6) is to be completed each time a medication is discarded. This form must be kept with the “Medication Disposal Container”.</w:t>
      </w:r>
    </w:p>
    <w:p>
      <w:pPr>
        <w:pStyle w:val="BodyText"/>
        <w:spacing w:before="4"/>
      </w:pPr>
    </w:p>
    <w:p>
      <w:pPr>
        <w:pStyle w:val="ListParagraph"/>
        <w:numPr>
          <w:ilvl w:val="0"/>
          <w:numId w:val="1"/>
        </w:numPr>
        <w:tabs>
          <w:tab w:pos="1062" w:val="left" w:leader="none"/>
        </w:tabs>
        <w:spacing w:line="240" w:lineRule="auto" w:before="0" w:after="0"/>
        <w:ind w:left="1062" w:right="0" w:hanging="360"/>
        <w:jc w:val="left"/>
        <w:rPr>
          <w:sz w:val="24"/>
        </w:rPr>
      </w:pPr>
      <w:r>
        <w:rPr>
          <w:sz w:val="24"/>
        </w:rPr>
        <w:t>The “Medication Disposal Container” must be locked in a designated medication storage</w:t>
      </w:r>
      <w:r>
        <w:rPr>
          <w:spacing w:val="-34"/>
          <w:sz w:val="24"/>
        </w:rPr>
        <w:t> </w:t>
      </w:r>
      <w:r>
        <w:rPr>
          <w:sz w:val="24"/>
        </w:rPr>
        <w:t>area.</w:t>
      </w:r>
    </w:p>
    <w:p>
      <w:pPr>
        <w:pStyle w:val="BodyText"/>
        <w:spacing w:before="9"/>
        <w:rPr>
          <w:sz w:val="20"/>
        </w:rPr>
      </w:pPr>
    </w:p>
    <w:p>
      <w:pPr>
        <w:pStyle w:val="ListParagraph"/>
        <w:numPr>
          <w:ilvl w:val="0"/>
          <w:numId w:val="1"/>
        </w:numPr>
        <w:tabs>
          <w:tab w:pos="1062" w:val="left" w:leader="none"/>
        </w:tabs>
        <w:spacing w:line="242" w:lineRule="auto" w:before="0" w:after="0"/>
        <w:ind w:left="1062" w:right="298" w:hanging="360"/>
        <w:jc w:val="both"/>
        <w:rPr>
          <w:sz w:val="24"/>
        </w:rPr>
      </w:pPr>
      <w:r>
        <w:rPr>
          <w:sz w:val="24"/>
        </w:rPr>
        <w:t>All dropped pills must be discarded by placing them in a labelled envelope, identifying the medication, and must be deposited into the “Medication Disposal</w:t>
      </w:r>
      <w:r>
        <w:rPr>
          <w:spacing w:val="-24"/>
          <w:sz w:val="24"/>
        </w:rPr>
        <w:t> </w:t>
      </w:r>
      <w:r>
        <w:rPr>
          <w:sz w:val="24"/>
        </w:rPr>
        <w:t>Container”.</w:t>
      </w:r>
    </w:p>
    <w:p>
      <w:pPr>
        <w:pStyle w:val="BodyText"/>
        <w:rPr>
          <w:sz w:val="26"/>
        </w:rPr>
      </w:pPr>
    </w:p>
    <w:p>
      <w:pPr>
        <w:pStyle w:val="ListParagraph"/>
        <w:numPr>
          <w:ilvl w:val="0"/>
          <w:numId w:val="1"/>
        </w:numPr>
        <w:tabs>
          <w:tab w:pos="1062" w:val="left" w:leader="none"/>
        </w:tabs>
        <w:spacing w:line="244" w:lineRule="auto" w:before="218" w:after="0"/>
        <w:ind w:left="1062" w:right="298" w:hanging="360"/>
        <w:jc w:val="both"/>
        <w:rPr>
          <w:sz w:val="24"/>
        </w:rPr>
      </w:pPr>
      <w:r>
        <w:rPr>
          <w:sz w:val="24"/>
        </w:rPr>
        <w:t>Every </w:t>
      </w:r>
      <w:r>
        <w:rPr>
          <w:spacing w:val="-3"/>
          <w:sz w:val="24"/>
        </w:rPr>
        <w:t>January, </w:t>
      </w:r>
      <w:r>
        <w:rPr>
          <w:sz w:val="24"/>
        </w:rPr>
        <w:t>April, July and October, or earlier if needed, the </w:t>
      </w:r>
      <w:r>
        <w:rPr>
          <w:spacing w:val="-5"/>
          <w:sz w:val="24"/>
        </w:rPr>
        <w:t>Team </w:t>
      </w:r>
      <w:r>
        <w:rPr>
          <w:sz w:val="24"/>
        </w:rPr>
        <w:t>Leader or designate is responsible in ensuring that the site “Medication Disposal Container” is either taken to the pharmacy to be emptied or to the Residential Program Director’s office and emptied into their container to be safely disposed</w:t>
      </w:r>
      <w:r>
        <w:rPr>
          <w:spacing w:val="-8"/>
          <w:sz w:val="24"/>
        </w:rPr>
        <w:t> </w:t>
      </w:r>
      <w:r>
        <w:rPr>
          <w:sz w:val="24"/>
        </w:rPr>
        <w:t>of.</w:t>
      </w:r>
    </w:p>
    <w:sectPr>
      <w:type w:val="continuous"/>
      <w:pgSz w:w="11910" w:h="16840"/>
      <w:pgMar w:top="840" w:bottom="280" w:left="7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62" w:hanging="360"/>
        <w:jc w:val="left"/>
      </w:pPr>
      <w:rPr>
        <w:rFonts w:hint="default" w:ascii="Times New Roman" w:hAnsi="Times New Roman" w:eastAsia="Times New Roman" w:cs="Times New Roman"/>
        <w:spacing w:val="-14"/>
        <w:w w:val="100"/>
        <w:sz w:val="24"/>
        <w:szCs w:val="24"/>
      </w:rPr>
    </w:lvl>
    <w:lvl w:ilvl="1">
      <w:start w:val="0"/>
      <w:numFmt w:val="bullet"/>
      <w:lvlText w:val="•"/>
      <w:lvlJc w:val="left"/>
      <w:pPr>
        <w:ind w:left="2010" w:hanging="360"/>
      </w:pPr>
      <w:rPr>
        <w:rFonts w:hint="default"/>
      </w:rPr>
    </w:lvl>
    <w:lvl w:ilvl="2">
      <w:start w:val="0"/>
      <w:numFmt w:val="bullet"/>
      <w:lvlText w:val="•"/>
      <w:lvlJc w:val="left"/>
      <w:pPr>
        <w:ind w:left="2961" w:hanging="360"/>
      </w:pPr>
      <w:rPr>
        <w:rFonts w:hint="default"/>
      </w:rPr>
    </w:lvl>
    <w:lvl w:ilvl="3">
      <w:start w:val="0"/>
      <w:numFmt w:val="bullet"/>
      <w:lvlText w:val="•"/>
      <w:lvlJc w:val="left"/>
      <w:pPr>
        <w:ind w:left="3911" w:hanging="360"/>
      </w:pPr>
      <w:rPr>
        <w:rFonts w:hint="default"/>
      </w:rPr>
    </w:lvl>
    <w:lvl w:ilvl="4">
      <w:start w:val="0"/>
      <w:numFmt w:val="bullet"/>
      <w:lvlText w:val="•"/>
      <w:lvlJc w:val="left"/>
      <w:pPr>
        <w:ind w:left="4862" w:hanging="360"/>
      </w:pPr>
      <w:rPr>
        <w:rFonts w:hint="default"/>
      </w:rPr>
    </w:lvl>
    <w:lvl w:ilvl="5">
      <w:start w:val="0"/>
      <w:numFmt w:val="bullet"/>
      <w:lvlText w:val="•"/>
      <w:lvlJc w:val="left"/>
      <w:pPr>
        <w:ind w:left="5812" w:hanging="360"/>
      </w:pPr>
      <w:rPr>
        <w:rFonts w:hint="default"/>
      </w:rPr>
    </w:lvl>
    <w:lvl w:ilvl="6">
      <w:start w:val="0"/>
      <w:numFmt w:val="bullet"/>
      <w:lvlText w:val="•"/>
      <w:lvlJc w:val="left"/>
      <w:pPr>
        <w:ind w:left="6763" w:hanging="360"/>
      </w:pPr>
      <w:rPr>
        <w:rFonts w:hint="default"/>
      </w:rPr>
    </w:lvl>
    <w:lvl w:ilvl="7">
      <w:start w:val="0"/>
      <w:numFmt w:val="bullet"/>
      <w:lvlText w:val="•"/>
      <w:lvlJc w:val="left"/>
      <w:pPr>
        <w:ind w:left="7713" w:hanging="360"/>
      </w:pPr>
      <w:rPr>
        <w:rFonts w:hint="default"/>
      </w:rPr>
    </w:lvl>
    <w:lvl w:ilvl="8">
      <w:start w:val="0"/>
      <w:numFmt w:val="bullet"/>
      <w:lvlText w:val="•"/>
      <w:lvlJc w:val="left"/>
      <w:pPr>
        <w:ind w:left="866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694" w:right="3498"/>
      <w:jc w:val="center"/>
      <w:outlineLvl w:val="1"/>
    </w:pPr>
    <w:rPr>
      <w:rFonts w:ascii="Times New Roman" w:hAnsi="Times New Roman" w:eastAsia="Times New Roman" w:cs="Times New Roman"/>
      <w:b/>
      <w:bCs/>
      <w:sz w:val="32"/>
      <w:szCs w:val="32"/>
    </w:rPr>
  </w:style>
  <w:style w:styleId="ListParagraph" w:type="paragraph">
    <w:name w:val="List Paragraph"/>
    <w:basedOn w:val="Normal"/>
    <w:uiPriority w:val="1"/>
    <w:qFormat/>
    <w:pPr>
      <w:ind w:left="1062" w:right="298" w:hanging="360"/>
      <w:jc w:val="both"/>
    </w:pPr>
    <w:rPr>
      <w:rFonts w:ascii="Times New Roman" w:hAnsi="Times New Roman" w:eastAsia="Times New Roman" w:cs="Times New Roman"/>
    </w:rPr>
  </w:style>
  <w:style w:styleId="TableParagraph" w:type="paragraph">
    <w:name w:val="Table Paragraph"/>
    <w:basedOn w:val="Normal"/>
    <w:uiPriority w:val="1"/>
    <w:qFormat/>
    <w:pPr>
      <w:spacing w:before="17"/>
      <w:ind w:left="8"/>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2019-02-05T11:56:49Z</dcterms:created>
  <dcterms:modified xsi:type="dcterms:W3CDTF">2019-02-05T11:56:49Z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TCPDF</vt:lpwstr>
  </property>
  <property fmtid="{D5CDD505-2E9C-101B-9397-08002B2CF9AE}" pid="4" name="LastSaved">
    <vt:filetime>2019-02-05T00:00:00Z</vt:filetime>
  </property>
</Properties>
</file>