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93" w:rsidRDefault="00337793">
      <w:pPr>
        <w:pStyle w:val="Heading3"/>
        <w:tabs>
          <w:tab w:val="clear" w:pos="360"/>
          <w:tab w:val="clear" w:pos="720"/>
          <w:tab w:val="clear" w:pos="1080"/>
        </w:tabs>
      </w:pPr>
      <w:bookmarkStart w:id="0" w:name="_GoBack"/>
      <w:bookmarkEnd w:id="0"/>
      <w:r>
        <w:t>Purpose</w:t>
      </w:r>
    </w:p>
    <w:p w:rsidR="00337793" w:rsidRDefault="00337793">
      <w:r>
        <w:t xml:space="preserve">In order to ensure the health and safety of the children in our care a number of forms must be completed by families.  </w:t>
      </w:r>
      <w:r w:rsidR="00800F8D">
        <w:t xml:space="preserve">Records of children ensure that the appropriate services can be contacted promptly and that basic information about each child in care is readily obtainable in an emergency.  </w:t>
      </w:r>
      <w:r w:rsidR="001539FD">
        <w:t>This also ensures parent</w:t>
      </w:r>
      <w:r>
        <w:t>s understand all policies within our program.</w:t>
      </w:r>
    </w:p>
    <w:p w:rsidR="00337793" w:rsidRDefault="00337793">
      <w:pPr>
        <w:pStyle w:val="Heading3"/>
        <w:tabs>
          <w:tab w:val="clear" w:pos="360"/>
          <w:tab w:val="clear" w:pos="720"/>
          <w:tab w:val="clear" w:pos="1080"/>
        </w:tabs>
      </w:pPr>
      <w:r>
        <w:t>Policy</w:t>
      </w:r>
    </w:p>
    <w:p w:rsidR="00337793" w:rsidRDefault="00337793" w:rsidP="001867AA">
      <w:pPr>
        <w:tabs>
          <w:tab w:val="clear" w:pos="360"/>
        </w:tabs>
      </w:pPr>
      <w:r>
        <w:t>All forms will be completed prior to the child starting day care.</w:t>
      </w:r>
    </w:p>
    <w:p w:rsidR="0056721E" w:rsidRDefault="0056721E" w:rsidP="001867AA">
      <w:pPr>
        <w:tabs>
          <w:tab w:val="clear" w:pos="360"/>
        </w:tabs>
      </w:pPr>
      <w:r>
        <w:t xml:space="preserve">Children’s records will be stored in a locked filing cabinet.  </w:t>
      </w:r>
    </w:p>
    <w:p w:rsidR="0056721E" w:rsidRDefault="0056721E" w:rsidP="001867AA">
      <w:pPr>
        <w:tabs>
          <w:tab w:val="clear" w:pos="360"/>
        </w:tabs>
      </w:pPr>
      <w:r>
        <w:t>Children’s records will not be accessible to students or volunteers without permission.</w:t>
      </w:r>
    </w:p>
    <w:p w:rsidR="00337793" w:rsidRDefault="00337793" w:rsidP="001867AA">
      <w:pPr>
        <w:tabs>
          <w:tab w:val="clear" w:pos="360"/>
        </w:tabs>
      </w:pPr>
      <w:r>
        <w:t xml:space="preserve">Records of children </w:t>
      </w:r>
      <w:proofErr w:type="gramStart"/>
      <w:r>
        <w:t>di</w:t>
      </w:r>
      <w:r w:rsidR="00C840D0">
        <w:t xml:space="preserve">scharged </w:t>
      </w:r>
      <w:r>
        <w:t xml:space="preserve"> will</w:t>
      </w:r>
      <w:proofErr w:type="gramEnd"/>
      <w:r>
        <w:t xml:space="preserve"> be main</w:t>
      </w:r>
      <w:r w:rsidR="00C840D0">
        <w:t>tained for three years after the discharge date.</w:t>
      </w:r>
    </w:p>
    <w:p w:rsidR="00337793" w:rsidRDefault="00337793" w:rsidP="001867AA">
      <w:pPr>
        <w:pStyle w:val="Heading3"/>
        <w:tabs>
          <w:tab w:val="clear" w:pos="360"/>
        </w:tabs>
      </w:pPr>
      <w:r>
        <w:t>Procedure</w:t>
      </w:r>
    </w:p>
    <w:p w:rsidR="00337793" w:rsidRDefault="00337793" w:rsidP="001867AA">
      <w:pPr>
        <w:numPr>
          <w:ilvl w:val="0"/>
          <w:numId w:val="1"/>
        </w:numPr>
        <w:tabs>
          <w:tab w:val="clear" w:pos="360"/>
        </w:tabs>
      </w:pPr>
      <w:r>
        <w:t>Upon acceptance of a position in the Day Nursery, parents are required to submit:</w:t>
      </w:r>
    </w:p>
    <w:p w:rsidR="00337793" w:rsidRDefault="00337793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>
        <w:t>Completed emergency information forms</w:t>
      </w:r>
    </w:p>
    <w:p w:rsidR="00337793" w:rsidRDefault="00337793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>
        <w:t>Completed consent forms</w:t>
      </w:r>
    </w:p>
    <w:p w:rsidR="00337793" w:rsidRDefault="00337793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>
        <w:t>Completed health/immunization forms</w:t>
      </w:r>
    </w:p>
    <w:p w:rsidR="00337793" w:rsidRDefault="00337793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>
        <w:t>Signed financial policy</w:t>
      </w:r>
    </w:p>
    <w:p w:rsidR="00337793" w:rsidRDefault="00A90D5C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>
        <w:t xml:space="preserve">“All about me”  </w:t>
      </w:r>
      <w:r w:rsidR="00337793">
        <w:t>informati</w:t>
      </w:r>
      <w:r>
        <w:t>on form</w:t>
      </w:r>
    </w:p>
    <w:p w:rsidR="00732EBA" w:rsidRDefault="00337793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>
        <w:t>Signed release of information forms (when applicable)</w:t>
      </w:r>
    </w:p>
    <w:p w:rsidR="00850C2E" w:rsidRDefault="00850C2E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>
        <w:t xml:space="preserve">Middlesex-London Health Unit Preschool </w:t>
      </w:r>
      <w:proofErr w:type="spellStart"/>
      <w:r>
        <w:t>Flouride</w:t>
      </w:r>
      <w:proofErr w:type="spellEnd"/>
      <w:r>
        <w:t xml:space="preserve"> Varnish Program Consent</w:t>
      </w:r>
    </w:p>
    <w:p w:rsidR="00732EBA" w:rsidRDefault="00732EBA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>
        <w:t>Individualized plans as applicable</w:t>
      </w:r>
    </w:p>
    <w:p w:rsidR="00732EBA" w:rsidRDefault="00732EBA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>
        <w:t>Written recommendations from a child’s physician regarding the placement of a child for sleep (when not in accordance with safe sleep recommendations)</w:t>
      </w:r>
    </w:p>
    <w:p w:rsidR="00337793" w:rsidRDefault="00732EBA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>
        <w:lastRenderedPageBreak/>
        <w:t>Statement of Conscience or Religious Belief forms if child is exempt from immunization</w:t>
      </w:r>
      <w:r w:rsidR="00337793">
        <w:t xml:space="preserve"> </w:t>
      </w:r>
    </w:p>
    <w:p w:rsidR="008E7AD1" w:rsidRDefault="008E7AD1" w:rsidP="001867AA">
      <w:pPr>
        <w:numPr>
          <w:ilvl w:val="0"/>
          <w:numId w:val="2"/>
        </w:numPr>
        <w:tabs>
          <w:tab w:val="clear" w:pos="360"/>
          <w:tab w:val="clear" w:pos="720"/>
          <w:tab w:val="num" w:pos="1080"/>
        </w:tabs>
        <w:ind w:left="1080"/>
      </w:pPr>
      <w:r w:rsidRPr="008E7AD1">
        <w:rPr>
          <w:b/>
          <w:i/>
        </w:rPr>
        <w:t>REMIND</w:t>
      </w:r>
      <w:r>
        <w:t xml:space="preserve"> app information</w:t>
      </w:r>
    </w:p>
    <w:p w:rsidR="00337793" w:rsidRDefault="00F4643C" w:rsidP="001867AA">
      <w:pPr>
        <w:numPr>
          <w:ilvl w:val="0"/>
          <w:numId w:val="1"/>
        </w:numPr>
        <w:tabs>
          <w:tab w:val="clear" w:pos="360"/>
        </w:tabs>
      </w:pPr>
      <w:r>
        <w:t xml:space="preserve">Preferably forms should be brought in prior to the child’s first day.  </w:t>
      </w:r>
      <w:proofErr w:type="gramStart"/>
      <w:r>
        <w:t xml:space="preserve">If </w:t>
      </w:r>
      <w:r w:rsidR="00337793">
        <w:t xml:space="preserve"> forms</w:t>
      </w:r>
      <w:proofErr w:type="gramEnd"/>
      <w:r w:rsidR="00337793">
        <w:t xml:space="preserve"> are brought in on the first day of care the staff receiving the forms must ensure they are complete.</w:t>
      </w:r>
      <w:r w:rsidR="007B4810">
        <w:t xml:space="preserve"> If forms are incomplete, the chi</w:t>
      </w:r>
      <w:r w:rsidR="00746C24">
        <w:t>l</w:t>
      </w:r>
      <w:r w:rsidR="007B4810">
        <w:t>d will not be able to stay.</w:t>
      </w:r>
    </w:p>
    <w:p w:rsidR="00337793" w:rsidRDefault="00337793" w:rsidP="001867AA">
      <w:pPr>
        <w:numPr>
          <w:ilvl w:val="0"/>
          <w:numId w:val="1"/>
        </w:numPr>
        <w:tabs>
          <w:tab w:val="clear" w:pos="360"/>
        </w:tabs>
      </w:pPr>
      <w:r>
        <w:t>Children on the sibling waiting list have priority over children on the non-sibling list.</w:t>
      </w:r>
    </w:p>
    <w:p w:rsidR="00337793" w:rsidRDefault="00337793" w:rsidP="001867AA">
      <w:pPr>
        <w:numPr>
          <w:ilvl w:val="0"/>
          <w:numId w:val="1"/>
        </w:numPr>
        <w:tabs>
          <w:tab w:val="clear" w:pos="360"/>
        </w:tabs>
      </w:pPr>
      <w:r>
        <w:t xml:space="preserve">Confirmation from the City Child Care Subsidy Office, Ontario Works or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Middlesex</w:t>
          </w:r>
        </w:smartTag>
      </w:smartTag>
      <w:r>
        <w:t xml:space="preserve"> must be received prior to the child’s starting date.</w:t>
      </w:r>
    </w:p>
    <w:p w:rsidR="00337793" w:rsidRDefault="00337793" w:rsidP="001867AA">
      <w:pPr>
        <w:numPr>
          <w:ilvl w:val="0"/>
          <w:numId w:val="1"/>
        </w:numPr>
        <w:tabs>
          <w:tab w:val="clear" w:pos="360"/>
        </w:tabs>
      </w:pPr>
      <w:r>
        <w:t xml:space="preserve">On the child’s first day parents are asked to bring an extra change of clothes, diaper, creams, </w:t>
      </w:r>
      <w:proofErr w:type="gramStart"/>
      <w:r>
        <w:t>wipes</w:t>
      </w:r>
      <w:proofErr w:type="gramEnd"/>
      <w:r>
        <w:t xml:space="preserve"> as applicable.</w:t>
      </w:r>
      <w:r w:rsidR="004F71BD">
        <w:t xml:space="preserve">  Please ensure that all items are clearly labeled.</w:t>
      </w:r>
      <w:r w:rsidR="00F4643C">
        <w:t xml:space="preserve">  Comfort toys such as blankets, stuffed animals are also welcomed for rest time or to make transitions easier.</w:t>
      </w:r>
    </w:p>
    <w:p w:rsidR="00C54042" w:rsidRDefault="00337793" w:rsidP="001867AA">
      <w:pPr>
        <w:numPr>
          <w:ilvl w:val="0"/>
          <w:numId w:val="1"/>
        </w:numPr>
        <w:tabs>
          <w:tab w:val="clear" w:pos="360"/>
        </w:tabs>
      </w:pPr>
      <w:r>
        <w:t xml:space="preserve">Parents may be requested to stay with their child </w:t>
      </w:r>
      <w:r w:rsidR="00F4643C">
        <w:t>until they are comfortable.</w:t>
      </w:r>
    </w:p>
    <w:sectPr w:rsidR="00C54042">
      <w:headerReference w:type="default" r:id="rId8"/>
      <w:footerReference w:type="default" r:id="rId9"/>
      <w:pgSz w:w="12240" w:h="15840" w:code="1"/>
      <w:pgMar w:top="1296" w:right="1440" w:bottom="1296" w:left="1440" w:header="720" w:footer="720" w:gutter="0"/>
      <w:paperSrc w:first="7" w:other="7"/>
      <w:pgBorders>
        <w:bottom w:val="single" w:sz="12" w:space="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6D" w:rsidRDefault="00E1006D">
      <w:pPr>
        <w:spacing w:after="0" w:line="240" w:lineRule="auto"/>
      </w:pPr>
      <w:r>
        <w:separator/>
      </w:r>
    </w:p>
  </w:endnote>
  <w:endnote w:type="continuationSeparator" w:id="0">
    <w:p w:rsidR="00E1006D" w:rsidRDefault="00E1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D" w:rsidRDefault="00800F8D">
    <w:pPr>
      <w:pStyle w:val="Footer"/>
      <w:pBdr>
        <w:top w:val="none" w:sz="0" w:space="0" w:color="auto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6D" w:rsidRDefault="00E1006D">
      <w:pPr>
        <w:spacing w:after="0" w:line="240" w:lineRule="auto"/>
      </w:pPr>
      <w:r>
        <w:separator/>
      </w:r>
    </w:p>
  </w:footnote>
  <w:footnote w:type="continuationSeparator" w:id="0">
    <w:p w:rsidR="00E1006D" w:rsidRDefault="00E1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800F8D">
      <w:tc>
        <w:tcPr>
          <w:tcW w:w="95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auto" w:fill="auto"/>
        </w:tcPr>
        <w:p w:rsidR="00800F8D" w:rsidRDefault="00800F8D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Chapter </w:t>
          </w:r>
          <w:smartTag w:uri="urn:schemas-microsoft-com:office:smarttags" w:element="stockticker">
            <w:r>
              <w:rPr>
                <w:b/>
                <w:smallCaps/>
                <w:sz w:val="28"/>
              </w:rPr>
              <w:t>One</w:t>
            </w:r>
          </w:smartTag>
        </w:p>
      </w:tc>
    </w:tr>
    <w:tr w:rsidR="00800F8D">
      <w:tc>
        <w:tcPr>
          <w:tcW w:w="9576" w:type="dxa"/>
          <w:gridSpan w:val="2"/>
        </w:tcPr>
        <w:p w:rsidR="00800F8D" w:rsidRDefault="00800F8D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800F8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6" w:space="0" w:color="auto"/>
          </w:tcBorders>
        </w:tcPr>
        <w:p w:rsidR="00800F8D" w:rsidRDefault="00800F8D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>
            <w:rPr>
              <w:b/>
            </w:rPr>
            <w:tab/>
            <w:t>Program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800F8D" w:rsidRDefault="00800F8D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>Policy:</w:t>
          </w:r>
          <w:r>
            <w:rPr>
              <w:b/>
            </w:rPr>
            <w:tab/>
            <w:t xml:space="preserve">  Admission</w:t>
          </w:r>
          <w:r w:rsidR="00EE2961">
            <w:rPr>
              <w:b/>
            </w:rPr>
            <w:t xml:space="preserve"> </w:t>
          </w:r>
        </w:p>
      </w:tc>
    </w:tr>
    <w:tr w:rsidR="00800F8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6" w:space="0" w:color="auto"/>
          </w:tcBorders>
        </w:tcPr>
        <w:p w:rsidR="00800F8D" w:rsidRDefault="00800F8D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  <w:t>January 2003</w:t>
          </w:r>
        </w:p>
        <w:p w:rsidR="00800F8D" w:rsidRPr="000F4E8C" w:rsidRDefault="001539FD" w:rsidP="00732EBA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 xml:space="preserve">Review Date:   </w:t>
          </w:r>
          <w:r w:rsidR="00732EBA">
            <w:rPr>
              <w:b/>
            </w:rPr>
            <w:t>August 2016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800F8D" w:rsidRDefault="00800F8D" w:rsidP="001539FD">
          <w:pPr>
            <w:pStyle w:val="table"/>
            <w:spacing w:after="72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br/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237F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237F2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800F8D" w:rsidRDefault="00800F8D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100"/>
    <w:multiLevelType w:val="singleLevel"/>
    <w:tmpl w:val="AC6E8044"/>
    <w:lvl w:ilvl="0">
      <w:start w:val="1"/>
      <w:numFmt w:val="decimal"/>
      <w:lvlText w:val="%1.0"/>
      <w:legacy w:legacy="1" w:legacySpace="0" w:legacyIndent="720"/>
      <w:lvlJc w:val="left"/>
      <w:pPr>
        <w:ind w:left="720" w:hanging="720"/>
      </w:pPr>
    </w:lvl>
  </w:abstractNum>
  <w:abstractNum w:abstractNumId="1">
    <w:nsid w:val="5742556F"/>
    <w:multiLevelType w:val="singleLevel"/>
    <w:tmpl w:val="E83840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lignBordersAndEdg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93"/>
    <w:rsid w:val="00033419"/>
    <w:rsid w:val="000F4E8C"/>
    <w:rsid w:val="001539FD"/>
    <w:rsid w:val="001611DE"/>
    <w:rsid w:val="001867AA"/>
    <w:rsid w:val="001F2B38"/>
    <w:rsid w:val="00337793"/>
    <w:rsid w:val="003C566F"/>
    <w:rsid w:val="004F71BD"/>
    <w:rsid w:val="00546D96"/>
    <w:rsid w:val="00561865"/>
    <w:rsid w:val="0056721E"/>
    <w:rsid w:val="006237F2"/>
    <w:rsid w:val="00666141"/>
    <w:rsid w:val="00722F02"/>
    <w:rsid w:val="00732EBA"/>
    <w:rsid w:val="00746C24"/>
    <w:rsid w:val="007B4810"/>
    <w:rsid w:val="00800F8D"/>
    <w:rsid w:val="00850C2E"/>
    <w:rsid w:val="00893AC2"/>
    <w:rsid w:val="008E4467"/>
    <w:rsid w:val="008E7AD1"/>
    <w:rsid w:val="0096220E"/>
    <w:rsid w:val="00A65DA4"/>
    <w:rsid w:val="00A90D5C"/>
    <w:rsid w:val="00AE1CB8"/>
    <w:rsid w:val="00BF37B0"/>
    <w:rsid w:val="00C54042"/>
    <w:rsid w:val="00C610D7"/>
    <w:rsid w:val="00C840D0"/>
    <w:rsid w:val="00D8358D"/>
    <w:rsid w:val="00D96D5B"/>
    <w:rsid w:val="00E1006D"/>
    <w:rsid w:val="00EE2961"/>
    <w:rsid w:val="00F4643C"/>
    <w:rsid w:val="00F81C87"/>
    <w:rsid w:val="00F9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AE1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AE1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358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LINDA CRAVEN</dc:creator>
  <cp:lastModifiedBy>Shari Carter</cp:lastModifiedBy>
  <cp:revision>10</cp:revision>
  <cp:lastPrinted>2017-10-18T16:58:00Z</cp:lastPrinted>
  <dcterms:created xsi:type="dcterms:W3CDTF">2016-06-14T21:12:00Z</dcterms:created>
  <dcterms:modified xsi:type="dcterms:W3CDTF">2017-10-18T18:06:00Z</dcterms:modified>
</cp:coreProperties>
</file>