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30" w:rsidRDefault="00A91830" w:rsidP="00A91830">
      <w:pPr>
        <w:autoSpaceDE w:val="0"/>
        <w:autoSpaceDN w:val="0"/>
        <w:adjustRightInd w:val="0"/>
        <w:spacing w:after="0" w:line="240" w:lineRule="auto"/>
        <w:jc w:val="center"/>
        <w:rPr>
          <w:rFonts w:ascii="TT262t00" w:hAnsi="TT262t00" w:cs="TT262t00"/>
          <w:sz w:val="36"/>
          <w:szCs w:val="36"/>
        </w:rPr>
      </w:pPr>
      <w:r>
        <w:rPr>
          <w:rFonts w:ascii="TT262t00" w:hAnsi="TT262t00" w:cs="TT262t00"/>
          <w:sz w:val="36"/>
          <w:szCs w:val="36"/>
        </w:rPr>
        <w:t>GATEWAY OF HOPE – Policy &amp; Procedures Manual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Langley, BC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</w:rPr>
      </w:pPr>
      <w:r>
        <w:rPr>
          <w:rFonts w:ascii="TT262t00" w:hAnsi="TT262t00" w:cs="TT262t00"/>
        </w:rPr>
        <w:t>2.1.23 Employee Training &amp; Development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Department: Human Resources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Approved By: Planning Team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Issue Date: March 2010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Updated: June 2016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  <w:r w:rsidRPr="00A91830">
        <w:rPr>
          <w:rFonts w:ascii="TT262t00" w:hAnsi="TT262t00" w:cs="TT262t00"/>
          <w:b/>
        </w:rPr>
        <w:t>General</w:t>
      </w:r>
    </w:p>
    <w:p w:rsidR="00A91830" w:rsidRP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 xml:space="preserve">For reasons related to personal safety and employment development, Gateway of Hope and </w:t>
      </w:r>
      <w:proofErr w:type="spellStart"/>
      <w:r>
        <w:rPr>
          <w:rFonts w:ascii="TT261t00" w:hAnsi="TT261t00" w:cs="TT261t00"/>
        </w:rPr>
        <w:t>Aldergrove</w:t>
      </w:r>
      <w:proofErr w:type="spellEnd"/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Thrift Store employees will be provided training and development opportunities while employed with The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Salvation Army. These opportunities will be in the form of: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A91830" w:rsidRPr="00A91830" w:rsidRDefault="00A91830" w:rsidP="00A9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Mandatory basic orientation &amp; training</w:t>
      </w:r>
    </w:p>
    <w:p w:rsidR="00A91830" w:rsidRPr="00A91830" w:rsidRDefault="00A91830" w:rsidP="00A9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Group In-service Training Workshops</w:t>
      </w:r>
    </w:p>
    <w:p w:rsidR="00A91830" w:rsidRPr="00A91830" w:rsidRDefault="00A91830" w:rsidP="00A9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Approved courses at outside learning institutions (see the TSA Employee Relations P&amp;P</w:t>
      </w:r>
    </w:p>
    <w:p w:rsidR="00A91830" w:rsidRPr="00A91830" w:rsidRDefault="00A91830" w:rsidP="00A9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Manual section 9.1)</w:t>
      </w:r>
    </w:p>
    <w:p w:rsidR="00A91830" w:rsidRPr="00A91830" w:rsidRDefault="00A91830" w:rsidP="00A9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These opportunities will be subject to the following:</w:t>
      </w:r>
    </w:p>
    <w:p w:rsidR="00A91830" w:rsidRPr="00A91830" w:rsidRDefault="00A91830" w:rsidP="00A9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The employees’ position</w:t>
      </w:r>
    </w:p>
    <w:p w:rsidR="00A91830" w:rsidRPr="00A91830" w:rsidRDefault="00A91830" w:rsidP="00A9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Operational requirements</w:t>
      </w:r>
    </w:p>
    <w:p w:rsidR="00A91830" w:rsidRPr="00A91830" w:rsidRDefault="00A91830" w:rsidP="00A9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Workplace Safety requirements</w:t>
      </w:r>
    </w:p>
    <w:p w:rsidR="00A91830" w:rsidRPr="00A91830" w:rsidRDefault="00A91830" w:rsidP="00A9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Financial capacity and approved budget of the respective department</w:t>
      </w:r>
    </w:p>
    <w:p w:rsidR="00A91830" w:rsidRPr="00A91830" w:rsidRDefault="00A91830" w:rsidP="00A9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Compliance with the TSA Education policy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A91830" w:rsidRP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  <w:r w:rsidRPr="00A91830">
        <w:rPr>
          <w:rFonts w:ascii="TT262t00" w:hAnsi="TT262t00" w:cs="TT262t00"/>
          <w:b/>
        </w:rPr>
        <w:t xml:space="preserve">Mandatory Training </w:t>
      </w:r>
      <w:proofErr w:type="gramStart"/>
      <w:r w:rsidRPr="00A91830">
        <w:rPr>
          <w:rFonts w:ascii="TT262t00" w:hAnsi="TT262t00" w:cs="TT262t00"/>
          <w:b/>
        </w:rPr>
        <w:t>Upon</w:t>
      </w:r>
      <w:proofErr w:type="gramEnd"/>
      <w:r w:rsidRPr="00A91830">
        <w:rPr>
          <w:rFonts w:ascii="TT262t00" w:hAnsi="TT262t00" w:cs="TT262t00"/>
          <w:b/>
        </w:rPr>
        <w:t xml:space="preserve"> Hire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Effective April 1, 2010, all new Gateway of Hope full-time, part-time and casual/relief employees will be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oriented and trained according to position specific job training templates that will account for all of the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expected job tasks of the position as well as for all required training and orientation elements and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experiences.</w:t>
      </w:r>
      <w:r>
        <w:rPr>
          <w:rFonts w:ascii="TT261t00" w:hAnsi="TT261t00" w:cs="TT261t00"/>
        </w:rPr>
        <w:t xml:space="preserve"> 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 xml:space="preserve">Additionally, all new Gateway of Hope and </w:t>
      </w:r>
      <w:proofErr w:type="spellStart"/>
      <w:r>
        <w:rPr>
          <w:rFonts w:ascii="TT261t00" w:hAnsi="TT261t00" w:cs="TT261t00"/>
        </w:rPr>
        <w:t>Aldergrove</w:t>
      </w:r>
      <w:proofErr w:type="spellEnd"/>
      <w:r>
        <w:rPr>
          <w:rFonts w:ascii="TT261t00" w:hAnsi="TT261t00" w:cs="TT261t00"/>
        </w:rPr>
        <w:t xml:space="preserve"> Thrift Store full-time, part-time and casual/relief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employees will be required to take and successfully complete the following training according to the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schedule below.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Prior to commencing their on-the-job training in their respective department:</w:t>
      </w:r>
    </w:p>
    <w:p w:rsidR="00A91830" w:rsidRPr="00A91830" w:rsidRDefault="00A91830" w:rsidP="00A918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Divisional Respect in the Workplace training (web)</w:t>
      </w:r>
    </w:p>
    <w:p w:rsidR="00A91830" w:rsidRPr="00A91830" w:rsidRDefault="00A91830" w:rsidP="00A918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Divisional Violence training (web)</w:t>
      </w:r>
    </w:p>
    <w:p w:rsidR="00A91830" w:rsidRPr="00A91830" w:rsidRDefault="00A91830" w:rsidP="00A918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Divisional Privacy training (web)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</w:rPr>
      </w:pPr>
    </w:p>
    <w:p w:rsidR="00A91830" w:rsidRP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  <w:r w:rsidRPr="00A91830">
        <w:rPr>
          <w:rFonts w:ascii="TT262t00" w:hAnsi="TT262t00" w:cs="TT262t00"/>
          <w:b/>
        </w:rPr>
        <w:t>Other Mandatory In-Service Training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Within 6 months of commencing employment at Gateway of Hope (and subject to course availability):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A91830" w:rsidRPr="00A91830" w:rsidRDefault="00A91830" w:rsidP="00A918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Mental Health First Aid</w:t>
      </w:r>
    </w:p>
    <w:p w:rsidR="00A91830" w:rsidRPr="00A91830" w:rsidRDefault="00A91830" w:rsidP="00A918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First Aid Level 1</w:t>
      </w:r>
    </w:p>
    <w:p w:rsidR="00A91830" w:rsidRPr="00A91830" w:rsidRDefault="00A91830" w:rsidP="00A918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lastRenderedPageBreak/>
        <w:t>WHMIS Training</w:t>
      </w:r>
    </w:p>
    <w:p w:rsidR="00A91830" w:rsidRPr="00A91830" w:rsidRDefault="00A91830" w:rsidP="00A918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Non-violent Crisis Intervention</w:t>
      </w:r>
    </w:p>
    <w:p w:rsidR="00A91830" w:rsidRPr="00A91830" w:rsidRDefault="00A91830" w:rsidP="00A918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A91830">
        <w:rPr>
          <w:rFonts w:ascii="TT261t00" w:hAnsi="TT261t00" w:cs="TT261t00"/>
        </w:rPr>
        <w:t>Food Safe Training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Employees will be required to successfully complete the above noted training. Exceptions must be approved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by the Manager of Business Administration or the employee’s particular department.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  <w:r w:rsidRPr="00A91830">
        <w:rPr>
          <w:rFonts w:ascii="TT262t00" w:hAnsi="TT262t00" w:cs="TT262t00"/>
          <w:b/>
        </w:rPr>
        <w:t>Quarterly Departmental Training</w:t>
      </w:r>
    </w:p>
    <w:p w:rsidR="00A91830" w:rsidRP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Furthermore, quarterly departmental staff meetings will be held for the purposes of training and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proofErr w:type="gramStart"/>
      <w:r>
        <w:rPr>
          <w:rFonts w:ascii="TT261t00" w:hAnsi="TT261t00" w:cs="TT261t00"/>
        </w:rPr>
        <w:t>development</w:t>
      </w:r>
      <w:proofErr w:type="gramEnd"/>
      <w:r>
        <w:rPr>
          <w:rFonts w:ascii="TT261t00" w:hAnsi="TT261t00" w:cs="TT261t00"/>
        </w:rPr>
        <w:t>, general coaching, information sharing and regular review of safety policies and procedures.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A91830" w:rsidRP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  <w:r w:rsidRPr="00A91830">
        <w:rPr>
          <w:rFonts w:ascii="TT262t00" w:hAnsi="TT262t00" w:cs="TT262t00"/>
          <w:b/>
        </w:rPr>
        <w:t>Continuing Education Opportunities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</w:rPr>
      </w:pP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Formal training or education at an outside learning institution may be approved by the Executive Director on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the recommendation of the department manager/director.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The following will govern the decision to approve such training: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1. Is the employee capable of benefiting from the proposed studies?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2. Will the studies undertaken benefit the employer?</w:t>
      </w:r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 xml:space="preserve">3. Will the employee declare an intention of continuing service with their present Salvation </w:t>
      </w:r>
      <w:proofErr w:type="gramStart"/>
      <w:r>
        <w:rPr>
          <w:rFonts w:ascii="TT261t00" w:hAnsi="TT261t00" w:cs="TT261t00"/>
        </w:rPr>
        <w:t>Army</w:t>
      </w:r>
      <w:proofErr w:type="gramEnd"/>
    </w:p>
    <w:p w:rsidR="00A91830" w:rsidRDefault="00A91830" w:rsidP="00A91830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proofErr w:type="gramStart"/>
      <w:r>
        <w:rPr>
          <w:rFonts w:ascii="TT261t00" w:hAnsi="TT261t00" w:cs="TT261t00"/>
        </w:rPr>
        <w:t>employer</w:t>
      </w:r>
      <w:proofErr w:type="gramEnd"/>
      <w:r>
        <w:rPr>
          <w:rFonts w:ascii="TT261t00" w:hAnsi="TT261t00" w:cs="TT261t00"/>
        </w:rPr>
        <w:t xml:space="preserve"> and agree to reimburse their present employer if employment is terminated at the volition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of the employee within one year of completion of these studies?</w:t>
      </w:r>
    </w:p>
    <w:p w:rsidR="004A371B" w:rsidRDefault="00A91830" w:rsidP="00A91830">
      <w:pPr>
        <w:autoSpaceDE w:val="0"/>
        <w:autoSpaceDN w:val="0"/>
        <w:adjustRightInd w:val="0"/>
        <w:spacing w:after="0" w:line="240" w:lineRule="auto"/>
      </w:pPr>
      <w:r>
        <w:rPr>
          <w:rFonts w:ascii="TT261t00" w:hAnsi="TT261t00" w:cs="TT261t00"/>
        </w:rPr>
        <w:t>4. Is the employee's commitment to study in personal time sufficient to justify the use of Salvation</w:t>
      </w:r>
      <w:r>
        <w:rPr>
          <w:rFonts w:ascii="TT261t00" w:hAnsi="TT261t00" w:cs="TT261t00"/>
        </w:rPr>
        <w:t xml:space="preserve"> </w:t>
      </w:r>
      <w:bookmarkStart w:id="0" w:name="_GoBack"/>
      <w:bookmarkEnd w:id="0"/>
      <w:r>
        <w:rPr>
          <w:rFonts w:ascii="TT261t00" w:hAnsi="TT261t00" w:cs="TT261t00"/>
        </w:rPr>
        <w:t>Army resources to enable the employee to reach specific educational goals?</w:t>
      </w:r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26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B77"/>
    <w:multiLevelType w:val="hybridMultilevel"/>
    <w:tmpl w:val="8DE0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ECA"/>
    <w:multiLevelType w:val="hybridMultilevel"/>
    <w:tmpl w:val="6E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E50"/>
    <w:multiLevelType w:val="hybridMultilevel"/>
    <w:tmpl w:val="2836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30"/>
    <w:rsid w:val="005A44F8"/>
    <w:rsid w:val="00A91830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2019-01-08T14:58:00Z</dcterms:created>
  <dcterms:modified xsi:type="dcterms:W3CDTF">2019-01-08T15:03:00Z</dcterms:modified>
</cp:coreProperties>
</file>