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2t00" w:hAnsi="TT262t00" w:cs="TT262t00"/>
          <w:sz w:val="36"/>
          <w:szCs w:val="36"/>
        </w:rPr>
      </w:pPr>
      <w:r>
        <w:rPr>
          <w:rFonts w:ascii="TT262t00" w:hAnsi="TT262t00" w:cs="TT262t00"/>
          <w:sz w:val="36"/>
          <w:szCs w:val="36"/>
        </w:rPr>
        <w:t>GATEWAY OF HOPE – Policy &amp; Procedures Manual</w:t>
      </w: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2t00" w:hAnsi="TT262t00" w:cs="TT262t00"/>
          <w:sz w:val="24"/>
          <w:szCs w:val="24"/>
        </w:rPr>
      </w:pPr>
      <w:r>
        <w:rPr>
          <w:rFonts w:ascii="TT262t00" w:hAnsi="TT262t00" w:cs="TT262t00"/>
          <w:sz w:val="24"/>
          <w:szCs w:val="24"/>
        </w:rPr>
        <w:t>Langley, BC</w:t>
      </w: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2t00" w:hAnsi="TT262t00" w:cs="TT262t00"/>
          <w:sz w:val="24"/>
          <w:szCs w:val="24"/>
        </w:rPr>
      </w:pP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2t00" w:hAnsi="TT262t00" w:cs="TT262t00"/>
        </w:rPr>
      </w:pPr>
      <w:r>
        <w:rPr>
          <w:rFonts w:ascii="TT262t00" w:hAnsi="TT262t00" w:cs="TT262t00"/>
        </w:rPr>
        <w:t>3.2.8 Care of Utensils &amp; Knives</w:t>
      </w: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  <w:r>
        <w:rPr>
          <w:rFonts w:ascii="TT261t00" w:hAnsi="TT261t00" w:cs="TT261t00"/>
        </w:rPr>
        <w:t>Department: Food Services</w:t>
      </w: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  <w:r>
        <w:rPr>
          <w:rFonts w:ascii="TT261t00" w:hAnsi="TT261t00" w:cs="TT261t00"/>
        </w:rPr>
        <w:t>Approved By: Planning Team</w:t>
      </w: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  <w:r>
        <w:rPr>
          <w:rFonts w:ascii="TT261t00" w:hAnsi="TT261t00" w:cs="TT261t00"/>
        </w:rPr>
        <w:t>Issue Date: February 2010</w:t>
      </w: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  <w:r>
        <w:rPr>
          <w:rFonts w:ascii="TT261t00" w:hAnsi="TT261t00" w:cs="TT261t00"/>
        </w:rPr>
        <w:t>Updated: June 2016</w:t>
      </w: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  <w:r>
        <w:rPr>
          <w:rFonts w:ascii="TT261t00" w:hAnsi="TT261t00" w:cs="TT261t00"/>
        </w:rPr>
        <w:t>Cooking utensils are to be cleaned in the dishwashing machine after every use, dried thoroughly and hung to dry on</w:t>
      </w:r>
      <w:r>
        <w:rPr>
          <w:rFonts w:ascii="TT261t00" w:hAnsi="TT261t00" w:cs="TT261t00"/>
        </w:rPr>
        <w:t xml:space="preserve"> </w:t>
      </w:r>
      <w:r>
        <w:rPr>
          <w:rFonts w:ascii="TT261t00" w:hAnsi="TT261t00" w:cs="TT261t00"/>
        </w:rPr>
        <w:t>the hooks provided.</w:t>
      </w: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  <w:r>
        <w:rPr>
          <w:rFonts w:ascii="TT261t00" w:hAnsi="TT261t00" w:cs="TT261t00"/>
        </w:rPr>
        <w:t>Flatware will be washed in the dishwashing machine on the dishwashing tray with the business end up and washed</w:t>
      </w:r>
      <w:r>
        <w:rPr>
          <w:rFonts w:ascii="TT261t00" w:hAnsi="TT261t00" w:cs="TT261t00"/>
        </w:rPr>
        <w:t xml:space="preserve"> </w:t>
      </w:r>
      <w:r>
        <w:rPr>
          <w:rFonts w:ascii="TT261t00" w:hAnsi="TT261t00" w:cs="TT261t00"/>
        </w:rPr>
        <w:t xml:space="preserve">again. </w:t>
      </w:r>
      <w:proofErr w:type="gramStart"/>
      <w:r>
        <w:rPr>
          <w:rFonts w:ascii="TT261t00" w:hAnsi="TT261t00" w:cs="TT261t00"/>
        </w:rPr>
        <w:t>Once cleaned they will be stored in the designated storage bins.</w:t>
      </w:r>
      <w:proofErr w:type="gramEnd"/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</w:p>
    <w:p w:rsidR="006E2B3F" w:rsidRDefault="006E2B3F" w:rsidP="006E2B3F">
      <w:pPr>
        <w:autoSpaceDE w:val="0"/>
        <w:autoSpaceDN w:val="0"/>
        <w:adjustRightInd w:val="0"/>
        <w:spacing w:after="0" w:line="240" w:lineRule="auto"/>
        <w:rPr>
          <w:rFonts w:ascii="TT261t00" w:hAnsi="TT261t00" w:cs="TT261t00"/>
        </w:rPr>
      </w:pPr>
      <w:r>
        <w:rPr>
          <w:rFonts w:ascii="TT261t00" w:hAnsi="TT261t00" w:cs="TT261t00"/>
        </w:rPr>
        <w:t>Knives are to be kept in the proper knife holders.</w:t>
      </w:r>
    </w:p>
    <w:p w:rsidR="006E2B3F" w:rsidRDefault="006E2B3F" w:rsidP="006E2B3F">
      <w:pPr>
        <w:rPr>
          <w:rFonts w:ascii="TT261t00" w:hAnsi="TT261t00" w:cs="TT261t00"/>
        </w:rPr>
      </w:pPr>
    </w:p>
    <w:p w:rsidR="004A371B" w:rsidRDefault="006E2B3F" w:rsidP="006E2B3F">
      <w:bookmarkStart w:id="0" w:name="_GoBack"/>
      <w:bookmarkEnd w:id="0"/>
      <w:r>
        <w:rPr>
          <w:rFonts w:ascii="TT261t00" w:hAnsi="TT261t00" w:cs="TT261t00"/>
        </w:rPr>
        <w:t>All shortages should be reported to the Food Services Manager.</w:t>
      </w:r>
    </w:p>
    <w:sectPr w:rsidR="004A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6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3F"/>
    <w:rsid w:val="005A44F8"/>
    <w:rsid w:val="006E2B3F"/>
    <w:rsid w:val="00B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2019-01-22T20:15:00Z</dcterms:created>
  <dcterms:modified xsi:type="dcterms:W3CDTF">2019-01-22T20:16:00Z</dcterms:modified>
</cp:coreProperties>
</file>