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FB" w:rsidRPr="00A067FF" w:rsidRDefault="001A6F4D" w:rsidP="00F01D1D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-43180</wp:posOffset>
            </wp:positionV>
            <wp:extent cx="554355" cy="640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1FB" w:rsidRPr="00A067FF">
        <w:rPr>
          <w:rFonts w:cs="Arial"/>
          <w:b/>
          <w:sz w:val="22"/>
          <w:szCs w:val="22"/>
        </w:rPr>
        <w:t>The Salvation Army</w:t>
      </w:r>
      <w:r w:rsidR="00F01D1D" w:rsidRPr="00A067FF">
        <w:rPr>
          <w:rFonts w:cs="Arial"/>
          <w:b/>
          <w:sz w:val="22"/>
          <w:szCs w:val="22"/>
        </w:rPr>
        <w:t xml:space="preserve"> </w:t>
      </w:r>
      <w:r w:rsidR="00BE551D" w:rsidRPr="00A067FF">
        <w:rPr>
          <w:rFonts w:cs="Arial"/>
          <w:b/>
          <w:sz w:val="22"/>
          <w:szCs w:val="22"/>
        </w:rPr>
        <w:t>Community Services</w:t>
      </w:r>
      <w:r w:rsidR="00F01D1D" w:rsidRPr="00A067FF">
        <w:rPr>
          <w:rFonts w:cs="Arial"/>
          <w:b/>
          <w:sz w:val="22"/>
          <w:szCs w:val="22"/>
        </w:rPr>
        <w:t xml:space="preserve"> </w:t>
      </w:r>
    </w:p>
    <w:p w:rsidR="000841FB" w:rsidRPr="00A067FF" w:rsidRDefault="000841FB" w:rsidP="000841FB">
      <w:pPr>
        <w:pStyle w:val="Header"/>
        <w:rPr>
          <w:rFonts w:cs="Arial"/>
          <w:b/>
          <w:sz w:val="22"/>
          <w:szCs w:val="22"/>
          <w:u w:val="single"/>
        </w:rPr>
      </w:pPr>
    </w:p>
    <w:p w:rsidR="000841FB" w:rsidRPr="008170CB" w:rsidRDefault="00125E9A" w:rsidP="000841FB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SERVICES </w:t>
      </w:r>
      <w:r w:rsidRPr="008170CB">
        <w:rPr>
          <w:rFonts w:cs="Arial"/>
          <w:b/>
          <w:szCs w:val="24"/>
        </w:rPr>
        <w:t xml:space="preserve"> </w:t>
      </w:r>
      <w:r w:rsidR="008170CB" w:rsidRPr="008170CB">
        <w:rPr>
          <w:rFonts w:cs="Arial"/>
          <w:b/>
          <w:szCs w:val="24"/>
        </w:rPr>
        <w:t>GUIDELINES</w:t>
      </w:r>
    </w:p>
    <w:p w:rsidR="000841FB" w:rsidRDefault="000841FB" w:rsidP="000841FB">
      <w:pPr>
        <w:pStyle w:val="Header"/>
        <w:jc w:val="center"/>
        <w:rPr>
          <w:rFonts w:cs="Arial"/>
          <w:sz w:val="22"/>
          <w:szCs w:val="22"/>
        </w:rPr>
      </w:pPr>
    </w:p>
    <w:p w:rsidR="00035C57" w:rsidRPr="00A067FF" w:rsidRDefault="00035C57" w:rsidP="000841FB">
      <w:pPr>
        <w:pStyle w:val="Header"/>
        <w:jc w:val="center"/>
        <w:rPr>
          <w:rFonts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90"/>
        <w:gridCol w:w="2790"/>
        <w:gridCol w:w="1530"/>
      </w:tblGrid>
      <w:tr w:rsidR="00BE551D" w:rsidRPr="002B6CDA" w:rsidTr="002B6CDA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51D" w:rsidRPr="002B6CDA" w:rsidRDefault="00BE551D" w:rsidP="002B6C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>TITLE: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51D" w:rsidRPr="002B6CDA" w:rsidRDefault="00005F49" w:rsidP="002B6CD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b/>
              </w:rPr>
              <w:t xml:space="preserve">Intake Assessment </w:t>
            </w:r>
          </w:p>
        </w:tc>
      </w:tr>
      <w:tr w:rsidR="00BE551D" w:rsidRPr="002B6CDA" w:rsidTr="002B6CDA"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51D" w:rsidRPr="002B6CDA" w:rsidRDefault="00BE551D" w:rsidP="002B6CD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E551D" w:rsidRPr="002B6CDA" w:rsidRDefault="00BE551D" w:rsidP="009B4A82">
            <w:pPr>
              <w:rPr>
                <w:rFonts w:cs="Arial"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>APPLICABLE TO:</w:t>
            </w:r>
          </w:p>
          <w:p w:rsidR="00A80336" w:rsidRDefault="00A80336" w:rsidP="009B4A82">
            <w:pPr>
              <w:rPr>
                <w:rFonts w:cs="Arial"/>
                <w:b/>
                <w:sz w:val="22"/>
                <w:szCs w:val="22"/>
              </w:rPr>
            </w:pPr>
          </w:p>
          <w:p w:rsidR="00A80336" w:rsidRDefault="00A80336" w:rsidP="009B4A82">
            <w:pPr>
              <w:rPr>
                <w:rFonts w:cs="Arial"/>
                <w:b/>
                <w:sz w:val="22"/>
                <w:szCs w:val="22"/>
              </w:rPr>
            </w:pPr>
          </w:p>
          <w:p w:rsidR="00BE551D" w:rsidRPr="002B6CDA" w:rsidRDefault="00BE551D" w:rsidP="009B4A82">
            <w:pPr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>DATE APPROVED:</w:t>
            </w:r>
          </w:p>
          <w:p w:rsidR="00024159" w:rsidRPr="002B6CDA" w:rsidRDefault="00024159" w:rsidP="002B6CD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E551D" w:rsidRPr="002B6CDA" w:rsidRDefault="00A0544E" w:rsidP="002B6CD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>APPROVED BY: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51D" w:rsidRPr="002B6CDA" w:rsidRDefault="00BE551D" w:rsidP="002B6CD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80336" w:rsidRPr="00A80336" w:rsidRDefault="007D503C" w:rsidP="00280521">
            <w:pPr>
              <w:rPr>
                <w:b/>
              </w:rPr>
            </w:pPr>
            <w:r>
              <w:rPr>
                <w:b/>
              </w:rPr>
              <w:t>C</w:t>
            </w:r>
            <w:r w:rsidR="009F69BB">
              <w:rPr>
                <w:b/>
              </w:rPr>
              <w:t xml:space="preserve">ommunity-based </w:t>
            </w:r>
            <w:r w:rsidR="00125E9A">
              <w:rPr>
                <w:b/>
              </w:rPr>
              <w:t xml:space="preserve">services </w:t>
            </w:r>
          </w:p>
          <w:p w:rsidR="003E5E7C" w:rsidRDefault="003E5E7C" w:rsidP="002B6CD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27D33" w:rsidRDefault="00C27D33" w:rsidP="002B6CD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80521" w:rsidRPr="002B6CDA" w:rsidRDefault="00C72C03" w:rsidP="002B6CDA">
            <w:pPr>
              <w:jc w:val="both"/>
              <w:rPr>
                <w:rFonts w:cs="Arial"/>
                <w:sz w:val="22"/>
                <w:szCs w:val="22"/>
              </w:rPr>
            </w:pPr>
            <w:r w:rsidRPr="002B6CDA">
              <w:rPr>
                <w:rFonts w:cs="Arial"/>
                <w:sz w:val="22"/>
                <w:szCs w:val="22"/>
              </w:rPr>
              <w:t>January 18, 2008</w:t>
            </w:r>
          </w:p>
          <w:p w:rsidR="00024159" w:rsidRDefault="00024159" w:rsidP="00280521">
            <w:pPr>
              <w:rPr>
                <w:rFonts w:cs="Arial"/>
                <w:sz w:val="22"/>
                <w:szCs w:val="22"/>
              </w:rPr>
            </w:pPr>
          </w:p>
          <w:p w:rsidR="003E5E7C" w:rsidRPr="002B6CDA" w:rsidRDefault="003E5E7C" w:rsidP="00280521">
            <w:pPr>
              <w:rPr>
                <w:rFonts w:cs="Arial"/>
                <w:sz w:val="22"/>
                <w:szCs w:val="22"/>
              </w:rPr>
            </w:pPr>
          </w:p>
          <w:p w:rsidR="00A0544E" w:rsidRPr="002B6CDA" w:rsidRDefault="00916632" w:rsidP="00280521">
            <w:pPr>
              <w:rPr>
                <w:rFonts w:cs="Arial"/>
                <w:sz w:val="22"/>
                <w:szCs w:val="22"/>
              </w:rPr>
            </w:pPr>
            <w:r w:rsidRPr="002B6CDA">
              <w:rPr>
                <w:rFonts w:cs="Arial"/>
                <w:sz w:val="22"/>
                <w:szCs w:val="22"/>
              </w:rPr>
              <w:t>Program Manager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551D" w:rsidRPr="002B6CDA" w:rsidRDefault="00BE551D" w:rsidP="002B6CD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BE551D" w:rsidRPr="002B6CDA" w:rsidRDefault="008170CB" w:rsidP="002B6CD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 xml:space="preserve">GUIDELINES </w:t>
            </w:r>
            <w:r w:rsidR="00BE551D" w:rsidRPr="002B6CDA">
              <w:rPr>
                <w:rFonts w:cs="Arial"/>
                <w:b/>
                <w:sz w:val="22"/>
                <w:szCs w:val="22"/>
              </w:rPr>
              <w:t xml:space="preserve"> NUMBER:</w:t>
            </w:r>
          </w:p>
          <w:p w:rsidR="00A80336" w:rsidRDefault="00A80336" w:rsidP="002B6CD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69319E" w:rsidRDefault="00BE551D" w:rsidP="00A80336">
            <w:pPr>
              <w:rPr>
                <w:rFonts w:cs="Arial"/>
                <w:b/>
                <w:sz w:val="22"/>
                <w:szCs w:val="22"/>
              </w:rPr>
            </w:pPr>
            <w:r w:rsidRPr="002B6CDA">
              <w:rPr>
                <w:rFonts w:cs="Arial"/>
                <w:b/>
                <w:sz w:val="22"/>
                <w:szCs w:val="22"/>
              </w:rPr>
              <w:t>LAST</w:t>
            </w:r>
            <w:r w:rsidR="00C6568F" w:rsidRPr="002B6C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04FB0" w:rsidRPr="002B6CDA">
              <w:rPr>
                <w:rFonts w:cs="Arial"/>
                <w:b/>
                <w:sz w:val="22"/>
                <w:szCs w:val="22"/>
              </w:rPr>
              <w:t>REVIEW/</w:t>
            </w:r>
            <w:r w:rsidRPr="002B6CDA">
              <w:rPr>
                <w:rFonts w:cs="Arial"/>
                <w:b/>
                <w:sz w:val="22"/>
                <w:szCs w:val="22"/>
              </w:rPr>
              <w:t xml:space="preserve"> REVISION:</w:t>
            </w:r>
            <w:r w:rsidR="00602084">
              <w:rPr>
                <w:rFonts w:cs="Arial"/>
                <w:b/>
                <w:sz w:val="22"/>
                <w:szCs w:val="22"/>
              </w:rPr>
              <w:t xml:space="preserve"> Jan. 31, 2015</w:t>
            </w:r>
          </w:p>
          <w:p w:rsidR="00CE3F5E" w:rsidRDefault="00A44A15" w:rsidP="00A8033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No. Pages: 2</w:t>
            </w:r>
          </w:p>
          <w:p w:rsidR="00CE3F5E" w:rsidRDefault="00CE3F5E" w:rsidP="00CE3F5E">
            <w:pPr>
              <w:tabs>
                <w:tab w:val="left" w:pos="257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EFFECTIVE DATE:</w:t>
            </w:r>
          </w:p>
          <w:p w:rsidR="00CE3F5E" w:rsidRPr="002B6CDA" w:rsidRDefault="00CE3F5E" w:rsidP="00CE3F5E">
            <w:pPr>
              <w:tabs>
                <w:tab w:val="left" w:pos="257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Feb.25,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155" w:rsidRPr="002B6CDA" w:rsidRDefault="00CB6155" w:rsidP="002B6CD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8170CB" w:rsidRPr="002B6CDA" w:rsidRDefault="00C72C03" w:rsidP="002B6CDA">
            <w:pPr>
              <w:jc w:val="both"/>
              <w:rPr>
                <w:rFonts w:cs="Arial"/>
                <w:sz w:val="22"/>
                <w:szCs w:val="22"/>
              </w:rPr>
            </w:pPr>
            <w:r w:rsidRPr="002B6CDA">
              <w:rPr>
                <w:rFonts w:cs="Arial"/>
                <w:sz w:val="22"/>
                <w:szCs w:val="22"/>
              </w:rPr>
              <w:t>CM02</w:t>
            </w:r>
          </w:p>
          <w:p w:rsidR="00A80336" w:rsidRDefault="00A80336" w:rsidP="002B6CDA">
            <w:pPr>
              <w:jc w:val="both"/>
              <w:rPr>
                <w:rFonts w:cs="Arial"/>
                <w:sz w:val="20"/>
              </w:rPr>
            </w:pPr>
          </w:p>
          <w:p w:rsidR="00916632" w:rsidRPr="002B6CDA" w:rsidRDefault="00916632" w:rsidP="00F91DD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841FB" w:rsidRPr="00A067FF" w:rsidRDefault="000841FB">
      <w:pPr>
        <w:jc w:val="both"/>
        <w:rPr>
          <w:rFonts w:cs="Arial"/>
          <w:b/>
          <w:sz w:val="22"/>
          <w:szCs w:val="22"/>
        </w:rPr>
      </w:pPr>
    </w:p>
    <w:p w:rsidR="00A0544E" w:rsidRDefault="00A0544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PURPOSE</w:t>
      </w:r>
    </w:p>
    <w:p w:rsidR="00A0544E" w:rsidRDefault="00A0544E">
      <w:pPr>
        <w:jc w:val="both"/>
        <w:rPr>
          <w:rFonts w:cs="Arial"/>
          <w:b/>
          <w:sz w:val="22"/>
          <w:szCs w:val="22"/>
        </w:rPr>
      </w:pPr>
    </w:p>
    <w:p w:rsidR="00280521" w:rsidRPr="00280521" w:rsidRDefault="00280521" w:rsidP="00280521">
      <w:pPr>
        <w:jc w:val="both"/>
        <w:rPr>
          <w:rFonts w:cs="Arial"/>
          <w:b/>
          <w:sz w:val="22"/>
          <w:szCs w:val="22"/>
        </w:rPr>
      </w:pPr>
      <w:r w:rsidRPr="00280521">
        <w:rPr>
          <w:rFonts w:cs="Arial"/>
          <w:sz w:val="22"/>
          <w:szCs w:val="22"/>
        </w:rPr>
        <w:t>To</w:t>
      </w:r>
      <w:r w:rsidR="00393B2E">
        <w:rPr>
          <w:rFonts w:cs="Arial"/>
          <w:sz w:val="22"/>
          <w:szCs w:val="22"/>
        </w:rPr>
        <w:t xml:space="preserve"> </w:t>
      </w:r>
      <w:r w:rsidR="00005F49">
        <w:rPr>
          <w:rFonts w:cs="Arial"/>
          <w:sz w:val="22"/>
          <w:szCs w:val="22"/>
        </w:rPr>
        <w:t>outline the rationale an</w:t>
      </w:r>
      <w:r w:rsidR="0017668B">
        <w:rPr>
          <w:rFonts w:cs="Arial"/>
          <w:sz w:val="22"/>
          <w:szCs w:val="22"/>
        </w:rPr>
        <w:t>d process of intake assessments</w:t>
      </w:r>
    </w:p>
    <w:p w:rsidR="00280521" w:rsidRDefault="00280521" w:rsidP="00280521">
      <w:pPr>
        <w:jc w:val="both"/>
        <w:rPr>
          <w:rFonts w:cs="Arial"/>
          <w:b/>
          <w:sz w:val="22"/>
          <w:szCs w:val="22"/>
        </w:rPr>
      </w:pPr>
    </w:p>
    <w:p w:rsidR="00280521" w:rsidRDefault="00280521" w:rsidP="0028052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GUIDELINES</w:t>
      </w:r>
    </w:p>
    <w:p w:rsidR="00005F49" w:rsidRPr="00280521" w:rsidRDefault="00005F49" w:rsidP="007D503C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An assessment is completed for all individuals/families accessing services and resources to assist with determining interventions. </w:t>
      </w:r>
      <w:r w:rsidR="004F54EE">
        <w:rPr>
          <w:rFonts w:cs="Arial"/>
          <w:color w:val="000000"/>
          <w:sz w:val="22"/>
          <w:szCs w:val="22"/>
        </w:rPr>
        <w:t>A “situational” assessment is the primary assessment to determine client need</w:t>
      </w:r>
      <w:r w:rsidR="003F298C">
        <w:rPr>
          <w:rFonts w:cs="Arial"/>
          <w:color w:val="000000"/>
          <w:sz w:val="22"/>
          <w:szCs w:val="22"/>
        </w:rPr>
        <w:t xml:space="preserve">. </w:t>
      </w:r>
      <w:r w:rsidR="004F54EE">
        <w:rPr>
          <w:rFonts w:cs="Arial"/>
          <w:color w:val="000000"/>
          <w:sz w:val="22"/>
          <w:szCs w:val="22"/>
        </w:rPr>
        <w:t xml:space="preserve"> A secondary assessment or “financial” assessment is completed that includes income and expenses for services prov</w:t>
      </w:r>
      <w:r w:rsidR="002B51FA">
        <w:rPr>
          <w:rFonts w:cs="Arial"/>
          <w:color w:val="000000"/>
          <w:sz w:val="22"/>
          <w:szCs w:val="22"/>
        </w:rPr>
        <w:t>ided through a partner agen</w:t>
      </w:r>
      <w:r w:rsidR="00A44A15">
        <w:rPr>
          <w:rFonts w:cs="Arial"/>
          <w:color w:val="000000"/>
          <w:sz w:val="22"/>
          <w:szCs w:val="22"/>
        </w:rPr>
        <w:t>cy</w:t>
      </w:r>
      <w:r w:rsidR="002B51FA">
        <w:rPr>
          <w:rFonts w:cs="Arial"/>
          <w:color w:val="000000"/>
          <w:sz w:val="22"/>
          <w:szCs w:val="22"/>
        </w:rPr>
        <w:t xml:space="preserve">. </w:t>
      </w:r>
      <w:r w:rsidR="004F54EE">
        <w:rPr>
          <w:rFonts w:cs="Arial"/>
          <w:color w:val="000000"/>
          <w:sz w:val="22"/>
          <w:szCs w:val="22"/>
        </w:rPr>
        <w:t xml:space="preserve"> Sometimes </w:t>
      </w:r>
      <w:r w:rsidR="002B51FA">
        <w:rPr>
          <w:rFonts w:cs="Arial"/>
          <w:color w:val="000000"/>
          <w:sz w:val="22"/>
          <w:szCs w:val="22"/>
        </w:rPr>
        <w:t>the</w:t>
      </w:r>
      <w:r w:rsidR="004F54EE">
        <w:rPr>
          <w:rFonts w:cs="Arial"/>
          <w:color w:val="000000"/>
          <w:sz w:val="22"/>
          <w:szCs w:val="22"/>
        </w:rPr>
        <w:t xml:space="preserve"> </w:t>
      </w:r>
      <w:r w:rsidR="000409AB">
        <w:rPr>
          <w:rFonts w:cs="Arial"/>
          <w:color w:val="000000"/>
          <w:sz w:val="22"/>
          <w:szCs w:val="22"/>
        </w:rPr>
        <w:t xml:space="preserve">Low Income Cut-Off (LICO) </w:t>
      </w:r>
      <w:r>
        <w:rPr>
          <w:rFonts w:cs="Arial"/>
          <w:color w:val="000000"/>
          <w:sz w:val="22"/>
          <w:szCs w:val="22"/>
        </w:rPr>
        <w:t>guidelines</w:t>
      </w:r>
      <w:r w:rsidR="004F54EE">
        <w:rPr>
          <w:rFonts w:cs="Arial"/>
          <w:color w:val="000000"/>
          <w:sz w:val="22"/>
          <w:szCs w:val="22"/>
        </w:rPr>
        <w:t xml:space="preserve"> are the standard tool </w:t>
      </w:r>
      <w:r w:rsidR="003F298C">
        <w:rPr>
          <w:rFonts w:cs="Arial"/>
          <w:color w:val="000000"/>
          <w:sz w:val="22"/>
          <w:szCs w:val="22"/>
        </w:rPr>
        <w:t>used by some</w:t>
      </w:r>
      <w:r w:rsidR="004F54EE">
        <w:rPr>
          <w:rFonts w:cs="Arial"/>
          <w:color w:val="000000"/>
          <w:sz w:val="22"/>
          <w:szCs w:val="22"/>
        </w:rPr>
        <w:t xml:space="preserve"> agencies.</w:t>
      </w:r>
      <w:r>
        <w:rPr>
          <w:rFonts w:cs="Arial"/>
          <w:color w:val="000000"/>
          <w:sz w:val="22"/>
          <w:szCs w:val="22"/>
        </w:rPr>
        <w:t xml:space="preserve"> </w:t>
      </w:r>
      <w:r w:rsidR="000B5DF4">
        <w:rPr>
          <w:rFonts w:cs="Arial"/>
          <w:sz w:val="22"/>
          <w:szCs w:val="22"/>
        </w:rPr>
        <w:t>The worker/client relationship and decision making is respected</w:t>
      </w:r>
      <w:r w:rsidR="000B5DF4" w:rsidRPr="00255E4A">
        <w:rPr>
          <w:rFonts w:cs="Arial"/>
          <w:sz w:val="22"/>
          <w:szCs w:val="22"/>
        </w:rPr>
        <w:t xml:space="preserve"> in the case of unique/personal circumstances</w:t>
      </w:r>
      <w:r w:rsidR="003F298C">
        <w:rPr>
          <w:rFonts w:cs="Arial"/>
          <w:sz w:val="22"/>
          <w:szCs w:val="22"/>
        </w:rPr>
        <w:t xml:space="preserve">. </w:t>
      </w: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  <w:r>
        <w:rPr>
          <w:rFonts w:cs="Arial"/>
          <w:b/>
          <w:color w:val="000000"/>
          <w:spacing w:val="-3"/>
          <w:sz w:val="22"/>
          <w:szCs w:val="22"/>
        </w:rPr>
        <w:t>DEFINITION</w:t>
      </w:r>
      <w:r w:rsidR="00FD2E85">
        <w:rPr>
          <w:rFonts w:cs="Arial"/>
          <w:b/>
          <w:color w:val="000000"/>
          <w:spacing w:val="-3"/>
          <w:sz w:val="22"/>
          <w:szCs w:val="22"/>
        </w:rPr>
        <w:t>S</w:t>
      </w: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212125" w:rsidRPr="00834097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b/>
          <w:color w:val="000000"/>
          <w:spacing w:val="-3"/>
          <w:sz w:val="22"/>
          <w:szCs w:val="22"/>
        </w:rPr>
        <w:t xml:space="preserve">Situational assessment:  </w:t>
      </w:r>
      <w:r w:rsidRPr="00834097">
        <w:rPr>
          <w:rFonts w:cs="Arial"/>
          <w:color w:val="000000"/>
          <w:spacing w:val="-3"/>
          <w:sz w:val="22"/>
          <w:szCs w:val="22"/>
        </w:rPr>
        <w:t xml:space="preserve">involves listening to the client’s story and what is </w:t>
      </w:r>
      <w:r w:rsidRPr="00834097">
        <w:rPr>
          <w:rFonts w:cs="Arial"/>
          <w:color w:val="000000"/>
          <w:spacing w:val="-3"/>
          <w:sz w:val="22"/>
          <w:szCs w:val="22"/>
          <w:u w:val="single"/>
        </w:rPr>
        <w:t xml:space="preserve">currently </w:t>
      </w:r>
      <w:r w:rsidRPr="00834097">
        <w:rPr>
          <w:rFonts w:cs="Arial"/>
          <w:color w:val="000000"/>
          <w:spacing w:val="-3"/>
          <w:sz w:val="22"/>
          <w:szCs w:val="22"/>
        </w:rPr>
        <w:t>happening in their life that has brought them in for services.  This may include any type of emergency or crisis that is preventing the client fr</w:t>
      </w:r>
      <w:r w:rsidR="00834097" w:rsidRPr="00834097">
        <w:rPr>
          <w:rFonts w:cs="Arial"/>
          <w:color w:val="000000"/>
          <w:spacing w:val="-3"/>
          <w:sz w:val="22"/>
          <w:szCs w:val="22"/>
        </w:rPr>
        <w:t>om having their basic needs met</w:t>
      </w:r>
      <w:r w:rsidRPr="00834097">
        <w:rPr>
          <w:rFonts w:cs="Arial"/>
          <w:color w:val="000000"/>
          <w:spacing w:val="-3"/>
          <w:sz w:val="22"/>
          <w:szCs w:val="22"/>
        </w:rPr>
        <w:t xml:space="preserve"> </w:t>
      </w: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  <w:r>
        <w:rPr>
          <w:rFonts w:cs="Arial"/>
          <w:b/>
          <w:color w:val="000000"/>
          <w:spacing w:val="-3"/>
          <w:sz w:val="22"/>
          <w:szCs w:val="22"/>
        </w:rPr>
        <w:t xml:space="preserve">Financial assessment:  </w:t>
      </w:r>
      <w:r w:rsidRPr="00834097">
        <w:rPr>
          <w:rFonts w:cs="Arial"/>
          <w:color w:val="000000"/>
          <w:spacing w:val="-3"/>
          <w:sz w:val="22"/>
          <w:szCs w:val="22"/>
        </w:rPr>
        <w:t>involves assessing for income and expenses and determining whether they meet partner criteria.</w:t>
      </w: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212125" w:rsidRPr="00834097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b/>
          <w:color w:val="000000"/>
          <w:spacing w:val="-3"/>
          <w:sz w:val="22"/>
          <w:szCs w:val="22"/>
        </w:rPr>
        <w:t xml:space="preserve">Household/family income: </w:t>
      </w:r>
      <w:r w:rsidRPr="00834097">
        <w:rPr>
          <w:rFonts w:cs="Arial"/>
          <w:color w:val="000000"/>
          <w:spacing w:val="-3"/>
          <w:sz w:val="22"/>
          <w:szCs w:val="22"/>
        </w:rPr>
        <w:t>includes all income within the household whether it is derived</w:t>
      </w:r>
      <w:r w:rsidR="00FD0724" w:rsidRPr="00834097">
        <w:rPr>
          <w:rFonts w:cs="Arial"/>
          <w:color w:val="000000"/>
          <w:spacing w:val="-3"/>
          <w:sz w:val="22"/>
          <w:szCs w:val="22"/>
        </w:rPr>
        <w:t xml:space="preserve"> from wages, </w:t>
      </w:r>
      <w:r w:rsidR="004E25AA">
        <w:rPr>
          <w:rFonts w:cs="Arial"/>
          <w:color w:val="000000"/>
          <w:spacing w:val="-3"/>
          <w:sz w:val="22"/>
          <w:szCs w:val="22"/>
        </w:rPr>
        <w:t>income support</w:t>
      </w:r>
      <w:r w:rsidR="00FD0724" w:rsidRPr="00834097">
        <w:rPr>
          <w:rFonts w:cs="Arial"/>
          <w:color w:val="000000"/>
          <w:spacing w:val="-3"/>
          <w:sz w:val="22"/>
          <w:szCs w:val="22"/>
        </w:rPr>
        <w:t xml:space="preserve">, Child Tax Benefit, AISH, Employment Insurance, </w:t>
      </w:r>
      <w:r w:rsidR="004E25AA">
        <w:rPr>
          <w:rFonts w:cs="Arial"/>
          <w:color w:val="000000"/>
          <w:spacing w:val="-3"/>
          <w:sz w:val="22"/>
          <w:szCs w:val="22"/>
        </w:rPr>
        <w:t xml:space="preserve">pensions, </w:t>
      </w:r>
      <w:r w:rsidR="00FD0724" w:rsidRPr="00834097">
        <w:rPr>
          <w:rFonts w:cs="Arial"/>
          <w:color w:val="000000"/>
          <w:spacing w:val="-3"/>
          <w:sz w:val="22"/>
          <w:szCs w:val="22"/>
        </w:rPr>
        <w:t>Worker’s Compensation, self-employment</w:t>
      </w:r>
    </w:p>
    <w:p w:rsidR="00FD0724" w:rsidRDefault="00FD0724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FD0724" w:rsidRPr="00834097" w:rsidRDefault="00FD0724" w:rsidP="00287BDA">
      <w:pPr>
        <w:tabs>
          <w:tab w:val="left" w:pos="-720"/>
          <w:tab w:val="left" w:pos="0"/>
        </w:tabs>
        <w:suppressAutoHyphens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b/>
          <w:color w:val="000000"/>
          <w:spacing w:val="-3"/>
          <w:sz w:val="22"/>
          <w:szCs w:val="22"/>
        </w:rPr>
        <w:t xml:space="preserve">Household expenses: </w:t>
      </w:r>
      <w:r w:rsidRPr="00834097">
        <w:rPr>
          <w:rFonts w:cs="Arial"/>
          <w:color w:val="000000"/>
          <w:spacing w:val="-3"/>
          <w:sz w:val="22"/>
          <w:szCs w:val="22"/>
        </w:rPr>
        <w:t xml:space="preserve">include the basic </w:t>
      </w:r>
      <w:r w:rsidR="00C11978">
        <w:rPr>
          <w:rFonts w:cs="Arial"/>
          <w:color w:val="000000"/>
          <w:spacing w:val="-3"/>
          <w:sz w:val="22"/>
          <w:szCs w:val="22"/>
        </w:rPr>
        <w:t xml:space="preserve">recurring </w:t>
      </w:r>
      <w:r w:rsidR="00834097" w:rsidRPr="00834097">
        <w:rPr>
          <w:rFonts w:cs="Arial"/>
          <w:color w:val="000000"/>
          <w:spacing w:val="-3"/>
          <w:sz w:val="22"/>
          <w:szCs w:val="22"/>
        </w:rPr>
        <w:t>expenses</w:t>
      </w:r>
      <w:r w:rsidRPr="00834097">
        <w:rPr>
          <w:rFonts w:cs="Arial"/>
          <w:color w:val="000000"/>
          <w:spacing w:val="-3"/>
          <w:sz w:val="22"/>
          <w:szCs w:val="22"/>
        </w:rPr>
        <w:t xml:space="preserve"> for rent/mortgage, utilities, food, transportation, </w:t>
      </w:r>
      <w:r w:rsidR="00834097" w:rsidRPr="00834097">
        <w:rPr>
          <w:rFonts w:cs="Arial"/>
          <w:color w:val="000000"/>
          <w:spacing w:val="-3"/>
          <w:sz w:val="22"/>
          <w:szCs w:val="22"/>
        </w:rPr>
        <w:t>child care, medical expenses</w:t>
      </w:r>
    </w:p>
    <w:p w:rsidR="00212125" w:rsidRDefault="00212125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</w:p>
    <w:p w:rsidR="00287BDA" w:rsidRPr="00A067FF" w:rsidRDefault="002C25C1" w:rsidP="00287BDA">
      <w:pPr>
        <w:tabs>
          <w:tab w:val="left" w:pos="-720"/>
          <w:tab w:val="left" w:pos="0"/>
        </w:tabs>
        <w:suppressAutoHyphens/>
        <w:rPr>
          <w:rFonts w:cs="Arial"/>
          <w:b/>
          <w:color w:val="000000"/>
          <w:spacing w:val="-3"/>
          <w:sz w:val="22"/>
          <w:szCs w:val="22"/>
        </w:rPr>
      </w:pPr>
      <w:r w:rsidRPr="00A067FF">
        <w:rPr>
          <w:rFonts w:cs="Arial"/>
          <w:b/>
          <w:color w:val="000000"/>
          <w:spacing w:val="-3"/>
          <w:sz w:val="22"/>
          <w:szCs w:val="22"/>
        </w:rPr>
        <w:t>PROCEDURE AND RESPONSIBILITY</w:t>
      </w:r>
    </w:p>
    <w:p w:rsidR="006D6C29" w:rsidRDefault="00AD001F" w:rsidP="00005F4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 booking an appointment c</w:t>
      </w:r>
      <w:r w:rsidR="00005F49" w:rsidRPr="00005F49">
        <w:rPr>
          <w:rFonts w:cs="Arial"/>
          <w:sz w:val="22"/>
          <w:szCs w:val="22"/>
        </w:rPr>
        <w:t xml:space="preserve">lients </w:t>
      </w:r>
      <w:r w:rsidR="00005F49">
        <w:rPr>
          <w:rFonts w:cs="Arial"/>
          <w:sz w:val="22"/>
          <w:szCs w:val="22"/>
        </w:rPr>
        <w:t xml:space="preserve">are instructed to bring identification for every household member and </w:t>
      </w:r>
      <w:r w:rsidR="009F69BB">
        <w:rPr>
          <w:rFonts w:cs="Arial"/>
          <w:sz w:val="22"/>
          <w:szCs w:val="22"/>
        </w:rPr>
        <w:t>appropriate documentation depending on the service requested.</w:t>
      </w:r>
      <w:r>
        <w:rPr>
          <w:rFonts w:cs="Arial"/>
          <w:sz w:val="22"/>
          <w:szCs w:val="22"/>
        </w:rPr>
        <w:t xml:space="preserve">  A minimum of identification is required for walk-ins</w:t>
      </w:r>
    </w:p>
    <w:p w:rsidR="004F54EE" w:rsidRDefault="004F54EE" w:rsidP="00005F49">
      <w:pPr>
        <w:numPr>
          <w:ilvl w:val="1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Alberta Health Care number is </w:t>
      </w:r>
      <w:r w:rsidR="00AD001F">
        <w:rPr>
          <w:rFonts w:cs="Arial"/>
          <w:sz w:val="22"/>
          <w:szCs w:val="22"/>
        </w:rPr>
        <w:t>preferred for privacy consideration; however, what client can present is accepted</w:t>
      </w:r>
    </w:p>
    <w:p w:rsidR="00005F49" w:rsidRDefault="002B51FA" w:rsidP="00005F49">
      <w:pPr>
        <w:numPr>
          <w:ilvl w:val="1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Partner agencies may require proof of income and expenses for the services they provide.</w:t>
      </w:r>
      <w:r w:rsidR="00C11978">
        <w:rPr>
          <w:rFonts w:cs="Arial"/>
          <w:sz w:val="22"/>
          <w:szCs w:val="22"/>
        </w:rPr>
        <w:t xml:space="preserve"> </w:t>
      </w:r>
      <w:r w:rsidR="000409AB">
        <w:rPr>
          <w:rFonts w:cs="Arial"/>
          <w:sz w:val="22"/>
          <w:szCs w:val="22"/>
        </w:rPr>
        <w:t xml:space="preserve">(check stubs, </w:t>
      </w:r>
      <w:r w:rsidR="004E25AA">
        <w:rPr>
          <w:rFonts w:cs="Arial"/>
          <w:sz w:val="22"/>
          <w:szCs w:val="22"/>
        </w:rPr>
        <w:t xml:space="preserve">income </w:t>
      </w:r>
      <w:r w:rsidR="000409AB">
        <w:rPr>
          <w:rFonts w:cs="Arial"/>
          <w:sz w:val="22"/>
          <w:szCs w:val="22"/>
        </w:rPr>
        <w:t>statements</w:t>
      </w:r>
      <w:r w:rsidR="00C11978">
        <w:rPr>
          <w:rFonts w:cs="Arial"/>
          <w:sz w:val="22"/>
          <w:szCs w:val="22"/>
        </w:rPr>
        <w:t>/stubs</w:t>
      </w:r>
      <w:r w:rsidR="000409AB">
        <w:rPr>
          <w:rFonts w:cs="Arial"/>
          <w:sz w:val="22"/>
          <w:szCs w:val="22"/>
        </w:rPr>
        <w:t>,</w:t>
      </w:r>
      <w:r w:rsidR="00C11978">
        <w:rPr>
          <w:rFonts w:cs="Arial"/>
          <w:sz w:val="22"/>
          <w:szCs w:val="22"/>
        </w:rPr>
        <w:t xml:space="preserve"> utility bills, expense receipts,</w:t>
      </w:r>
      <w:r w:rsidR="000409AB">
        <w:rPr>
          <w:rFonts w:cs="Arial"/>
          <w:sz w:val="22"/>
          <w:szCs w:val="22"/>
        </w:rPr>
        <w:t xml:space="preserve"> bank statement if preferred by client</w:t>
      </w:r>
      <w:r w:rsidR="00C11978">
        <w:rPr>
          <w:rFonts w:cs="Arial"/>
          <w:sz w:val="22"/>
          <w:szCs w:val="22"/>
        </w:rPr>
        <w:t>, that shows this information</w:t>
      </w:r>
      <w:r w:rsidR="000409AB">
        <w:rPr>
          <w:rFonts w:cs="Arial"/>
          <w:sz w:val="22"/>
          <w:szCs w:val="22"/>
        </w:rPr>
        <w:t>);</w:t>
      </w:r>
      <w:r w:rsidRPr="002B51FA">
        <w:rPr>
          <w:rFonts w:cs="Arial"/>
          <w:sz w:val="22"/>
          <w:szCs w:val="22"/>
        </w:rPr>
        <w:t xml:space="preserve"> </w:t>
      </w:r>
    </w:p>
    <w:p w:rsidR="00B570C8" w:rsidRDefault="00005F49" w:rsidP="007D503C">
      <w:pPr>
        <w:numPr>
          <w:ilvl w:val="1"/>
          <w:numId w:val="30"/>
        </w:numPr>
        <w:jc w:val="both"/>
        <w:rPr>
          <w:rFonts w:cs="Arial"/>
          <w:sz w:val="22"/>
          <w:szCs w:val="22"/>
        </w:rPr>
      </w:pPr>
      <w:r w:rsidRPr="000B5DF4">
        <w:rPr>
          <w:rFonts w:cs="Arial"/>
          <w:sz w:val="22"/>
          <w:szCs w:val="22"/>
        </w:rPr>
        <w:t xml:space="preserve">The </w:t>
      </w:r>
      <w:r w:rsidR="000301AE" w:rsidRPr="000B5DF4">
        <w:rPr>
          <w:rFonts w:cs="Arial"/>
          <w:sz w:val="22"/>
          <w:szCs w:val="22"/>
        </w:rPr>
        <w:t>Statistics Canada</w:t>
      </w:r>
      <w:r w:rsidR="00AD001F">
        <w:rPr>
          <w:rFonts w:cs="Arial"/>
          <w:sz w:val="22"/>
          <w:szCs w:val="22"/>
        </w:rPr>
        <w:t>’s</w:t>
      </w:r>
      <w:r w:rsidR="000301AE" w:rsidRPr="000B5DF4">
        <w:rPr>
          <w:rFonts w:cs="Arial"/>
          <w:sz w:val="22"/>
          <w:szCs w:val="22"/>
        </w:rPr>
        <w:t xml:space="preserve"> </w:t>
      </w:r>
      <w:r w:rsidR="00EE4411" w:rsidRPr="000B5DF4">
        <w:rPr>
          <w:rFonts w:cs="Arial"/>
          <w:sz w:val="22"/>
          <w:szCs w:val="22"/>
        </w:rPr>
        <w:t xml:space="preserve">latest </w:t>
      </w:r>
      <w:r w:rsidR="0017668B" w:rsidRPr="000B5DF4">
        <w:rPr>
          <w:rFonts w:cs="Arial"/>
          <w:sz w:val="22"/>
          <w:szCs w:val="22"/>
        </w:rPr>
        <w:t xml:space="preserve">(LICO) </w:t>
      </w:r>
      <w:r w:rsidR="00212125">
        <w:rPr>
          <w:rFonts w:cs="Arial"/>
          <w:sz w:val="22"/>
          <w:szCs w:val="22"/>
        </w:rPr>
        <w:t xml:space="preserve">2014 </w:t>
      </w:r>
      <w:r w:rsidR="0017668B" w:rsidRPr="000B5DF4">
        <w:rPr>
          <w:rFonts w:cs="Arial"/>
          <w:sz w:val="22"/>
          <w:szCs w:val="22"/>
        </w:rPr>
        <w:t>is used</w:t>
      </w:r>
      <w:r w:rsidR="00EE4411" w:rsidRPr="000B5DF4">
        <w:rPr>
          <w:rFonts w:cs="Arial"/>
          <w:sz w:val="22"/>
          <w:szCs w:val="22"/>
        </w:rPr>
        <w:t xml:space="preserve"> as a </w:t>
      </w:r>
      <w:r w:rsidR="00EE4411" w:rsidRPr="00212125">
        <w:rPr>
          <w:rFonts w:cs="Arial"/>
          <w:sz w:val="22"/>
          <w:szCs w:val="22"/>
          <w:u w:val="single"/>
        </w:rPr>
        <w:t>guideline</w:t>
      </w:r>
      <w:r w:rsidR="0017668B" w:rsidRPr="000B5DF4">
        <w:rPr>
          <w:rFonts w:cs="Arial"/>
          <w:sz w:val="22"/>
          <w:szCs w:val="22"/>
        </w:rPr>
        <w:t xml:space="preserve"> to assess eligibility</w:t>
      </w:r>
      <w:r w:rsidR="004F54EE" w:rsidRPr="000B5DF4">
        <w:rPr>
          <w:rFonts w:cs="Arial"/>
          <w:sz w:val="22"/>
          <w:szCs w:val="22"/>
        </w:rPr>
        <w:t xml:space="preserve"> for certain </w:t>
      </w:r>
      <w:r w:rsidR="000B5DF4" w:rsidRPr="000B5DF4">
        <w:rPr>
          <w:rFonts w:cs="Arial"/>
          <w:sz w:val="22"/>
          <w:szCs w:val="22"/>
        </w:rPr>
        <w:t xml:space="preserve">community partner </w:t>
      </w:r>
      <w:r w:rsidR="004F54EE" w:rsidRPr="000B5DF4">
        <w:rPr>
          <w:rFonts w:cs="Arial"/>
          <w:sz w:val="22"/>
          <w:szCs w:val="22"/>
        </w:rPr>
        <w:t>referral resources</w:t>
      </w:r>
      <w:r w:rsidR="00AD001F">
        <w:rPr>
          <w:rFonts w:cs="Arial"/>
          <w:sz w:val="22"/>
          <w:szCs w:val="22"/>
        </w:rPr>
        <w:t xml:space="preserve"> to determine low-income status.</w:t>
      </w:r>
      <w:r w:rsidR="00EE4411" w:rsidRPr="000B5DF4">
        <w:rPr>
          <w:rFonts w:cs="Arial"/>
          <w:sz w:val="22"/>
          <w:szCs w:val="22"/>
        </w:rPr>
        <w:t xml:space="preserve"> </w:t>
      </w:r>
    </w:p>
    <w:p w:rsidR="004E25AA" w:rsidRPr="000B5DF4" w:rsidRDefault="004E25AA" w:rsidP="004E25AA">
      <w:pPr>
        <w:ind w:left="1440"/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04"/>
        <w:gridCol w:w="3510"/>
      </w:tblGrid>
      <w:tr w:rsidR="007D503C" w:rsidTr="00EE1F1F">
        <w:tc>
          <w:tcPr>
            <w:tcW w:w="1458" w:type="dxa"/>
          </w:tcPr>
          <w:p w:rsidR="007D503C" w:rsidRPr="00212125" w:rsidRDefault="004E25AA" w:rsidP="000301A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Household/family</w:t>
            </w:r>
          </w:p>
        </w:tc>
        <w:tc>
          <w:tcPr>
            <w:tcW w:w="3510" w:type="dxa"/>
          </w:tcPr>
          <w:p w:rsidR="007D503C" w:rsidRPr="00212125" w:rsidRDefault="007D503C" w:rsidP="00E01A68">
            <w:pPr>
              <w:jc w:val="center"/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Before Tax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1 person 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$23,647 or </w:t>
            </w:r>
            <w:r w:rsidR="00212125" w:rsidRPr="00212125">
              <w:rPr>
                <w:rFonts w:cs="Arial"/>
                <w:sz w:val="22"/>
                <w:szCs w:val="22"/>
              </w:rPr>
              <w:t>$</w:t>
            </w:r>
            <w:r w:rsidRPr="00212125">
              <w:rPr>
                <w:rFonts w:cs="Arial"/>
                <w:sz w:val="22"/>
                <w:szCs w:val="22"/>
              </w:rPr>
              <w:t xml:space="preserve">1971 per month 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2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$29,440 or </w:t>
            </w:r>
            <w:r w:rsidR="00212125" w:rsidRPr="00212125">
              <w:rPr>
                <w:rFonts w:cs="Arial"/>
                <w:sz w:val="22"/>
                <w:szCs w:val="22"/>
              </w:rPr>
              <w:t>$</w:t>
            </w:r>
            <w:r w:rsidRPr="00212125">
              <w:rPr>
                <w:rFonts w:cs="Arial"/>
                <w:sz w:val="22"/>
                <w:szCs w:val="22"/>
              </w:rPr>
              <w:t>2453 per month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3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$36,193 or </w:t>
            </w:r>
            <w:r w:rsidR="00212125" w:rsidRPr="00212125">
              <w:rPr>
                <w:rFonts w:cs="Arial"/>
                <w:sz w:val="22"/>
                <w:szCs w:val="22"/>
              </w:rPr>
              <w:t>$</w:t>
            </w:r>
            <w:r w:rsidRPr="00212125">
              <w:rPr>
                <w:rFonts w:cs="Arial"/>
                <w:sz w:val="22"/>
                <w:szCs w:val="22"/>
              </w:rPr>
              <w:t>3016 per month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4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$43,942 or </w:t>
            </w:r>
            <w:r w:rsidR="00212125" w:rsidRPr="00212125">
              <w:rPr>
                <w:rFonts w:cs="Arial"/>
                <w:sz w:val="22"/>
                <w:szCs w:val="22"/>
              </w:rPr>
              <w:t>$</w:t>
            </w:r>
            <w:r w:rsidRPr="00212125">
              <w:rPr>
                <w:rFonts w:cs="Arial"/>
                <w:sz w:val="22"/>
                <w:szCs w:val="22"/>
              </w:rPr>
              <w:t>3662 per month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5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$49,839 or </w:t>
            </w:r>
            <w:r w:rsidR="00212125" w:rsidRPr="00212125">
              <w:rPr>
                <w:rFonts w:cs="Arial"/>
                <w:sz w:val="22"/>
                <w:szCs w:val="22"/>
              </w:rPr>
              <w:t xml:space="preserve">$4153 </w:t>
            </w:r>
            <w:r w:rsidRPr="00212125">
              <w:rPr>
                <w:rFonts w:cs="Arial"/>
                <w:sz w:val="22"/>
                <w:szCs w:val="22"/>
              </w:rPr>
              <w:t>per month</w:t>
            </w:r>
          </w:p>
        </w:tc>
      </w:tr>
      <w:tr w:rsidR="007D503C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6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$56,209 </w:t>
            </w:r>
            <w:r w:rsidR="00212125" w:rsidRPr="00212125">
              <w:rPr>
                <w:rFonts w:cs="Arial"/>
                <w:sz w:val="22"/>
                <w:szCs w:val="22"/>
              </w:rPr>
              <w:t xml:space="preserve">or $4684 </w:t>
            </w:r>
            <w:r w:rsidRPr="00212125">
              <w:rPr>
                <w:rFonts w:cs="Arial"/>
                <w:sz w:val="22"/>
                <w:szCs w:val="22"/>
              </w:rPr>
              <w:t>per month</w:t>
            </w:r>
          </w:p>
        </w:tc>
      </w:tr>
      <w:tr w:rsidR="007D503C" w:rsidRPr="00212125" w:rsidTr="00EE1F1F">
        <w:tc>
          <w:tcPr>
            <w:tcW w:w="1458" w:type="dxa"/>
          </w:tcPr>
          <w:p w:rsidR="007D503C" w:rsidRPr="00212125" w:rsidRDefault="007D503C" w:rsidP="000301AE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>7 or more persons</w:t>
            </w:r>
          </w:p>
        </w:tc>
        <w:tc>
          <w:tcPr>
            <w:tcW w:w="3510" w:type="dxa"/>
          </w:tcPr>
          <w:p w:rsidR="007D503C" w:rsidRPr="00212125" w:rsidRDefault="007D503C" w:rsidP="007D503C">
            <w:pPr>
              <w:rPr>
                <w:rFonts w:cs="Arial"/>
                <w:sz w:val="22"/>
                <w:szCs w:val="22"/>
              </w:rPr>
            </w:pPr>
            <w:r w:rsidRPr="00212125">
              <w:rPr>
                <w:rFonts w:cs="Arial"/>
                <w:sz w:val="22"/>
                <w:szCs w:val="22"/>
              </w:rPr>
              <w:t xml:space="preserve">$62,581 </w:t>
            </w:r>
            <w:r w:rsidR="00212125" w:rsidRPr="00212125">
              <w:rPr>
                <w:rFonts w:cs="Arial"/>
                <w:sz w:val="22"/>
                <w:szCs w:val="22"/>
              </w:rPr>
              <w:t xml:space="preserve">or $5215 </w:t>
            </w:r>
            <w:r w:rsidRPr="00212125">
              <w:rPr>
                <w:rFonts w:cs="Arial"/>
                <w:sz w:val="22"/>
                <w:szCs w:val="22"/>
              </w:rPr>
              <w:t>per month</w:t>
            </w:r>
          </w:p>
        </w:tc>
      </w:tr>
    </w:tbl>
    <w:p w:rsidR="00834097" w:rsidRDefault="00834097" w:rsidP="001766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For more than 7 persons, add $6362</w:t>
      </w:r>
    </w:p>
    <w:p w:rsidR="00005F49" w:rsidRDefault="00834097" w:rsidP="001766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05F49" w:rsidRDefault="00005F49" w:rsidP="00005F4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Worker </w:t>
      </w:r>
      <w:r w:rsidR="005F49A1">
        <w:rPr>
          <w:rFonts w:cs="Arial"/>
          <w:sz w:val="22"/>
          <w:szCs w:val="22"/>
        </w:rPr>
        <w:t xml:space="preserve">completes client profile in </w:t>
      </w:r>
      <w:r>
        <w:rPr>
          <w:rFonts w:cs="Arial"/>
          <w:sz w:val="22"/>
          <w:szCs w:val="22"/>
        </w:rPr>
        <w:t>Client Management System</w:t>
      </w:r>
      <w:r w:rsidR="000409AB">
        <w:rPr>
          <w:rFonts w:cs="Arial"/>
          <w:sz w:val="22"/>
          <w:szCs w:val="22"/>
        </w:rPr>
        <w:t xml:space="preserve"> </w:t>
      </w:r>
      <w:r w:rsidR="005F49A1">
        <w:rPr>
          <w:rFonts w:cs="Arial"/>
          <w:sz w:val="22"/>
          <w:szCs w:val="22"/>
        </w:rPr>
        <w:t>(</w:t>
      </w:r>
      <w:r w:rsidR="000409AB">
        <w:rPr>
          <w:rFonts w:cs="Arial"/>
          <w:sz w:val="22"/>
          <w:szCs w:val="22"/>
        </w:rPr>
        <w:t>CMS)</w:t>
      </w:r>
      <w:r w:rsidR="007E2FFE">
        <w:rPr>
          <w:rFonts w:cs="Arial"/>
          <w:sz w:val="22"/>
          <w:szCs w:val="22"/>
        </w:rPr>
        <w:t xml:space="preserve"> as soon after the appointment as possible (use </w:t>
      </w:r>
      <w:r w:rsidR="00AD001F">
        <w:rPr>
          <w:rFonts w:cs="Arial"/>
          <w:sz w:val="22"/>
          <w:szCs w:val="22"/>
        </w:rPr>
        <w:t xml:space="preserve">data </w:t>
      </w:r>
      <w:r w:rsidR="007E2FFE">
        <w:rPr>
          <w:rFonts w:cs="Arial"/>
          <w:sz w:val="22"/>
          <w:szCs w:val="22"/>
        </w:rPr>
        <w:t>forms and shred within stated time frame)</w:t>
      </w:r>
    </w:p>
    <w:p w:rsidR="00005F49" w:rsidRDefault="00005F49" w:rsidP="00005F4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client is already in the CMS, </w:t>
      </w:r>
      <w:r w:rsidR="002F31C0" w:rsidRPr="00024159">
        <w:rPr>
          <w:rFonts w:cs="Arial"/>
          <w:sz w:val="22"/>
          <w:szCs w:val="22"/>
        </w:rPr>
        <w:t>with each appointment</w:t>
      </w:r>
      <w:r w:rsidR="002F31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worker will verify that household information is </w:t>
      </w:r>
      <w:r w:rsidR="00AD001F">
        <w:rPr>
          <w:rFonts w:cs="Arial"/>
          <w:sz w:val="22"/>
          <w:szCs w:val="22"/>
        </w:rPr>
        <w:t>current</w:t>
      </w:r>
      <w:r w:rsidR="000409AB">
        <w:rPr>
          <w:rFonts w:cs="Arial"/>
          <w:sz w:val="22"/>
          <w:szCs w:val="22"/>
        </w:rPr>
        <w:t xml:space="preserve"> or update</w:t>
      </w:r>
      <w:r w:rsidR="005F49A1">
        <w:rPr>
          <w:rFonts w:cs="Arial"/>
          <w:sz w:val="22"/>
          <w:szCs w:val="22"/>
        </w:rPr>
        <w:t xml:space="preserve"> profile</w:t>
      </w:r>
      <w:r w:rsidR="000409AB">
        <w:rPr>
          <w:rFonts w:cs="Arial"/>
          <w:sz w:val="22"/>
          <w:szCs w:val="22"/>
        </w:rPr>
        <w:t xml:space="preserve"> as required</w:t>
      </w:r>
      <w:r w:rsidR="005F49A1">
        <w:rPr>
          <w:rFonts w:cs="Arial"/>
          <w:sz w:val="22"/>
          <w:szCs w:val="22"/>
        </w:rPr>
        <w:t>;</w:t>
      </w:r>
      <w:r w:rsidR="002F31C0">
        <w:rPr>
          <w:rFonts w:cs="Arial"/>
          <w:sz w:val="22"/>
          <w:szCs w:val="22"/>
        </w:rPr>
        <w:t xml:space="preserve"> </w:t>
      </w:r>
    </w:p>
    <w:p w:rsidR="00005F49" w:rsidRPr="004E25AA" w:rsidRDefault="00AD001F" w:rsidP="004E25A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Relevant objective notes are entered into the CMS; describing</w:t>
      </w:r>
      <w:r w:rsidR="00005F49">
        <w:rPr>
          <w:rFonts w:cs="Arial"/>
          <w:sz w:val="22"/>
          <w:szCs w:val="22"/>
        </w:rPr>
        <w:t xml:space="preserve"> their need and the situation that is causing them to request </w:t>
      </w:r>
      <w:r w:rsidR="000409AB">
        <w:rPr>
          <w:rFonts w:cs="Arial"/>
          <w:sz w:val="22"/>
          <w:szCs w:val="22"/>
        </w:rPr>
        <w:t>assistance</w:t>
      </w:r>
      <w:r w:rsidR="007E2FFE">
        <w:rPr>
          <w:rFonts w:cs="Arial"/>
          <w:sz w:val="22"/>
          <w:szCs w:val="22"/>
        </w:rPr>
        <w:t xml:space="preserve"> o</w:t>
      </w:r>
      <w:r w:rsidR="005F49A1">
        <w:rPr>
          <w:rFonts w:cs="Arial"/>
          <w:sz w:val="22"/>
          <w:szCs w:val="22"/>
        </w:rPr>
        <w:t>r brought them to the office</w:t>
      </w:r>
      <w:r w:rsidR="00F91DD5">
        <w:rPr>
          <w:rFonts w:cs="Arial"/>
          <w:sz w:val="22"/>
          <w:szCs w:val="22"/>
        </w:rPr>
        <w:t xml:space="preserve"> along with the service(s) provided.</w:t>
      </w:r>
    </w:p>
    <w:p w:rsidR="000301AE" w:rsidRDefault="000301AE" w:rsidP="00005F4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client is eligible for the requested service, worker will provide the service (instrumental needs, referral,</w:t>
      </w:r>
      <w:r w:rsidR="005F49A1">
        <w:rPr>
          <w:rFonts w:cs="Arial"/>
          <w:sz w:val="22"/>
          <w:szCs w:val="22"/>
        </w:rPr>
        <w:t xml:space="preserve"> </w:t>
      </w:r>
      <w:r w:rsidR="000409AB">
        <w:rPr>
          <w:rFonts w:cs="Arial"/>
          <w:sz w:val="22"/>
          <w:szCs w:val="22"/>
        </w:rPr>
        <w:t>advocacy,</w:t>
      </w:r>
      <w:r>
        <w:rPr>
          <w:rFonts w:cs="Arial"/>
          <w:sz w:val="22"/>
          <w:szCs w:val="22"/>
        </w:rPr>
        <w:t xml:space="preserve"> </w:t>
      </w:r>
      <w:r w:rsidR="005F49A1">
        <w:rPr>
          <w:rFonts w:cs="Arial"/>
          <w:sz w:val="22"/>
          <w:szCs w:val="22"/>
        </w:rPr>
        <w:t>complete form</w:t>
      </w:r>
      <w:r w:rsidR="007E2FF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etc</w:t>
      </w:r>
      <w:proofErr w:type="spellEnd"/>
      <w:r>
        <w:rPr>
          <w:rFonts w:cs="Arial"/>
          <w:sz w:val="22"/>
          <w:szCs w:val="22"/>
        </w:rPr>
        <w:t>) and enter the service data into the CMS.</w:t>
      </w:r>
    </w:p>
    <w:p w:rsidR="000301AE" w:rsidRPr="00005F49" w:rsidRDefault="000301AE" w:rsidP="00005F4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Whenever possible, an educational component is offered to the client. This could be in the form of booklets, brochures, referrals to additional resources, or verbal </w:t>
      </w:r>
      <w:r w:rsidR="00CA7E74">
        <w:rPr>
          <w:rFonts w:cs="Arial"/>
          <w:sz w:val="22"/>
          <w:szCs w:val="22"/>
        </w:rPr>
        <w:t>instruction/direction</w:t>
      </w:r>
      <w:r w:rsidR="007E2FFE">
        <w:rPr>
          <w:rFonts w:cs="Arial"/>
          <w:sz w:val="22"/>
          <w:szCs w:val="22"/>
        </w:rPr>
        <w:t xml:space="preserve"> (</w:t>
      </w:r>
      <w:proofErr w:type="spellStart"/>
      <w:r w:rsidR="007E2FFE">
        <w:rPr>
          <w:rFonts w:cs="Arial"/>
          <w:sz w:val="22"/>
          <w:szCs w:val="22"/>
        </w:rPr>
        <w:t>eg</w:t>
      </w:r>
      <w:proofErr w:type="spellEnd"/>
      <w:r w:rsidR="007E2FFE">
        <w:rPr>
          <w:rFonts w:cs="Arial"/>
          <w:sz w:val="22"/>
          <w:szCs w:val="22"/>
        </w:rPr>
        <w:t>. budgeting)</w:t>
      </w:r>
      <w:r>
        <w:rPr>
          <w:rFonts w:cs="Arial"/>
          <w:sz w:val="22"/>
          <w:szCs w:val="22"/>
        </w:rPr>
        <w:t>.</w:t>
      </w:r>
      <w:r w:rsidR="00F91DD5">
        <w:rPr>
          <w:rFonts w:cs="Arial"/>
          <w:sz w:val="22"/>
          <w:szCs w:val="22"/>
        </w:rPr>
        <w:t xml:space="preserve">  This also needs to be included in the CMS notes.</w:t>
      </w:r>
    </w:p>
    <w:p w:rsidR="009602E1" w:rsidRDefault="009602E1" w:rsidP="009A208D">
      <w:pPr>
        <w:jc w:val="both"/>
        <w:rPr>
          <w:rFonts w:cs="Arial"/>
          <w:sz w:val="22"/>
          <w:szCs w:val="22"/>
          <w:u w:val="single"/>
        </w:rPr>
      </w:pPr>
    </w:p>
    <w:p w:rsidR="009602E1" w:rsidRDefault="009602E1" w:rsidP="009A208D">
      <w:pPr>
        <w:jc w:val="both"/>
        <w:rPr>
          <w:rFonts w:cs="Arial"/>
          <w:sz w:val="22"/>
          <w:szCs w:val="22"/>
          <w:u w:val="single"/>
        </w:rPr>
      </w:pPr>
    </w:p>
    <w:p w:rsidR="00F3397D" w:rsidRDefault="00F3397D" w:rsidP="00F3397D">
      <w:pPr>
        <w:jc w:val="both"/>
        <w:rPr>
          <w:rFonts w:cs="Arial"/>
          <w:b/>
          <w:sz w:val="22"/>
          <w:szCs w:val="22"/>
        </w:rPr>
      </w:pPr>
      <w:r w:rsidRPr="00F3397D">
        <w:rPr>
          <w:rFonts w:cs="Arial"/>
          <w:b/>
          <w:sz w:val="22"/>
          <w:szCs w:val="22"/>
        </w:rPr>
        <w:t>PERFORMANCE MEASURE</w:t>
      </w: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0301AE" w:rsidP="00F3397D">
      <w:pPr>
        <w:jc w:val="both"/>
        <w:rPr>
          <w:rFonts w:cs="Arial"/>
          <w:b/>
          <w:sz w:val="22"/>
          <w:szCs w:val="22"/>
        </w:rPr>
      </w:pPr>
      <w:r w:rsidRPr="00E85547">
        <w:rPr>
          <w:rFonts w:cs="Arial"/>
          <w:sz w:val="22"/>
          <w:szCs w:val="22"/>
        </w:rPr>
        <w:t>All data is entered in the Client Management System</w:t>
      </w: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CROSS-REFFERENCE POLICIES (if applicable)</w:t>
      </w: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p w:rsidR="0069319E" w:rsidRDefault="0069319E" w:rsidP="00F3397D">
      <w:pPr>
        <w:jc w:val="both"/>
        <w:rPr>
          <w:rFonts w:cs="Arial"/>
          <w:b/>
          <w:sz w:val="22"/>
          <w:szCs w:val="22"/>
        </w:rPr>
      </w:pPr>
    </w:p>
    <w:sectPr w:rsidR="0069319E" w:rsidSect="00EE4411">
      <w:footerReference w:type="default" r:id="rId10"/>
      <w:pgSz w:w="12240" w:h="15840" w:code="1"/>
      <w:pgMar w:top="1440" w:right="1440" w:bottom="1170" w:left="1440" w:header="1152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4D" w:rsidRDefault="004A674D">
      <w:r>
        <w:separator/>
      </w:r>
    </w:p>
  </w:endnote>
  <w:endnote w:type="continuationSeparator" w:id="0">
    <w:p w:rsidR="004A674D" w:rsidRDefault="004A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9E" w:rsidRPr="00A067FF" w:rsidRDefault="0069319E" w:rsidP="008170CB">
    <w:pPr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A067FF">
      <w:rPr>
        <w:rStyle w:val="PageNumber"/>
        <w:rFonts w:cs="Arial"/>
        <w:sz w:val="18"/>
        <w:szCs w:val="18"/>
      </w:rPr>
      <w:fldChar w:fldCharType="begin"/>
    </w:r>
    <w:r w:rsidRPr="00A067FF">
      <w:rPr>
        <w:rStyle w:val="PageNumber"/>
        <w:rFonts w:cs="Arial"/>
        <w:sz w:val="18"/>
        <w:szCs w:val="18"/>
      </w:rPr>
      <w:instrText xml:space="preserve"> PAGE </w:instrText>
    </w:r>
    <w:r w:rsidRPr="00A067FF">
      <w:rPr>
        <w:rStyle w:val="PageNumber"/>
        <w:rFonts w:cs="Arial"/>
        <w:sz w:val="18"/>
        <w:szCs w:val="18"/>
      </w:rPr>
      <w:fldChar w:fldCharType="separate"/>
    </w:r>
    <w:r w:rsidR="00F24B93">
      <w:rPr>
        <w:rStyle w:val="PageNumber"/>
        <w:rFonts w:cs="Arial"/>
        <w:noProof/>
        <w:sz w:val="18"/>
        <w:szCs w:val="18"/>
      </w:rPr>
      <w:t>1</w:t>
    </w:r>
    <w:r w:rsidRPr="00A067FF">
      <w:rPr>
        <w:rStyle w:val="PageNumber"/>
        <w:rFonts w:cs="Arial"/>
        <w:sz w:val="18"/>
        <w:szCs w:val="18"/>
      </w:rPr>
      <w:fldChar w:fldCharType="end"/>
    </w:r>
  </w:p>
  <w:p w:rsidR="0069319E" w:rsidRPr="00662523" w:rsidRDefault="0069319E" w:rsidP="008170CB">
    <w:pPr>
      <w:pStyle w:val="Footer"/>
      <w:tabs>
        <w:tab w:val="clear" w:pos="4320"/>
        <w:tab w:val="clear" w:pos="8640"/>
        <w:tab w:val="right" w:pos="9360"/>
      </w:tabs>
      <w:rPr>
        <w:rFonts w:ascii="Times New Roman" w:hAnsi="Times New Roman"/>
        <w:sz w:val="18"/>
        <w:szCs w:val="18"/>
      </w:rPr>
    </w:pPr>
  </w:p>
  <w:p w:rsidR="0069319E" w:rsidRDefault="00693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4D" w:rsidRDefault="004A674D">
      <w:r>
        <w:separator/>
      </w:r>
    </w:p>
  </w:footnote>
  <w:footnote w:type="continuationSeparator" w:id="0">
    <w:p w:rsidR="004A674D" w:rsidRDefault="004A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430D7"/>
    <w:multiLevelType w:val="hybridMultilevel"/>
    <w:tmpl w:val="B85877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41533"/>
    <w:multiLevelType w:val="hybridMultilevel"/>
    <w:tmpl w:val="16040CCE"/>
    <w:lvl w:ilvl="0" w:tplc="6D36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E95FBC"/>
    <w:multiLevelType w:val="hybridMultilevel"/>
    <w:tmpl w:val="8DA805C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E55DC"/>
    <w:multiLevelType w:val="hybridMultilevel"/>
    <w:tmpl w:val="07E8AF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24C2C"/>
    <w:multiLevelType w:val="hybridMultilevel"/>
    <w:tmpl w:val="E376CA40"/>
    <w:lvl w:ilvl="0" w:tplc="62724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7383"/>
    <w:multiLevelType w:val="singleLevel"/>
    <w:tmpl w:val="7EF06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7">
    <w:nsid w:val="1CC57942"/>
    <w:multiLevelType w:val="hybridMultilevel"/>
    <w:tmpl w:val="EB9A3B9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93FD0"/>
    <w:multiLevelType w:val="multilevel"/>
    <w:tmpl w:val="FF4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A53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76A396E"/>
    <w:multiLevelType w:val="hybridMultilevel"/>
    <w:tmpl w:val="4B046CB4"/>
    <w:lvl w:ilvl="0" w:tplc="6D36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A2EDB"/>
    <w:multiLevelType w:val="hybridMultilevel"/>
    <w:tmpl w:val="27F6570E"/>
    <w:lvl w:ilvl="0" w:tplc="6D361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32A82"/>
    <w:multiLevelType w:val="hybridMultilevel"/>
    <w:tmpl w:val="77208A00"/>
    <w:lvl w:ilvl="0" w:tplc="62724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B187A"/>
    <w:multiLevelType w:val="singleLevel"/>
    <w:tmpl w:val="8D124E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0885EC8"/>
    <w:multiLevelType w:val="hybridMultilevel"/>
    <w:tmpl w:val="FD7C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81E91"/>
    <w:multiLevelType w:val="multilevel"/>
    <w:tmpl w:val="4B0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C733A"/>
    <w:multiLevelType w:val="singleLevel"/>
    <w:tmpl w:val="8EFCF91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B065D2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FB5E65"/>
    <w:multiLevelType w:val="hybridMultilevel"/>
    <w:tmpl w:val="0AFCDDD0"/>
    <w:lvl w:ilvl="0" w:tplc="6D36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86278E"/>
    <w:multiLevelType w:val="hybridMultilevel"/>
    <w:tmpl w:val="6C2412A6"/>
    <w:lvl w:ilvl="0" w:tplc="6D36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E258DB"/>
    <w:multiLevelType w:val="hybridMultilevel"/>
    <w:tmpl w:val="0A8E4F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55A76"/>
    <w:multiLevelType w:val="hybridMultilevel"/>
    <w:tmpl w:val="213C52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538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C6E0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9E3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01F1E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EF3E72"/>
    <w:multiLevelType w:val="hybridMultilevel"/>
    <w:tmpl w:val="4D02C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7">
    <w:nsid w:val="77DB5ACC"/>
    <w:multiLevelType w:val="hybridMultilevel"/>
    <w:tmpl w:val="8E54A012"/>
    <w:lvl w:ilvl="0" w:tplc="10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>
    <w:nsid w:val="783A1C27"/>
    <w:multiLevelType w:val="hybridMultilevel"/>
    <w:tmpl w:val="95C8C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2588"/>
    <w:multiLevelType w:val="singleLevel"/>
    <w:tmpl w:val="8D124E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12"/>
  </w:num>
  <w:num w:numId="8">
    <w:abstractNumId w:val="5"/>
  </w:num>
  <w:num w:numId="9">
    <w:abstractNumId w:val="7"/>
  </w:num>
  <w:num w:numId="10">
    <w:abstractNumId w:val="24"/>
  </w:num>
  <w:num w:numId="11">
    <w:abstractNumId w:val="6"/>
  </w:num>
  <w:num w:numId="12">
    <w:abstractNumId w:val="9"/>
  </w:num>
  <w:num w:numId="13">
    <w:abstractNumId w:val="23"/>
  </w:num>
  <w:num w:numId="14">
    <w:abstractNumId w:val="8"/>
  </w:num>
  <w:num w:numId="15">
    <w:abstractNumId w:val="21"/>
  </w:num>
  <w:num w:numId="16">
    <w:abstractNumId w:val="25"/>
  </w:num>
  <w:num w:numId="17">
    <w:abstractNumId w:val="26"/>
  </w:num>
  <w:num w:numId="18">
    <w:abstractNumId w:val="2"/>
  </w:num>
  <w:num w:numId="19">
    <w:abstractNumId w:val="19"/>
  </w:num>
  <w:num w:numId="20">
    <w:abstractNumId w:val="10"/>
  </w:num>
  <w:num w:numId="21">
    <w:abstractNumId w:val="15"/>
  </w:num>
  <w:num w:numId="22">
    <w:abstractNumId w:val="18"/>
  </w:num>
  <w:num w:numId="23">
    <w:abstractNumId w:val="20"/>
  </w:num>
  <w:num w:numId="24">
    <w:abstractNumId w:val="11"/>
  </w:num>
  <w:num w:numId="25">
    <w:abstractNumId w:val="3"/>
  </w:num>
  <w:num w:numId="26">
    <w:abstractNumId w:val="27"/>
  </w:num>
  <w:num w:numId="27">
    <w:abstractNumId w:val="1"/>
  </w:num>
  <w:num w:numId="28">
    <w:abstractNumId w:val="28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E"/>
    <w:rsid w:val="00005F49"/>
    <w:rsid w:val="000101FB"/>
    <w:rsid w:val="00020A65"/>
    <w:rsid w:val="00024159"/>
    <w:rsid w:val="000301AE"/>
    <w:rsid w:val="00035C57"/>
    <w:rsid w:val="000409AB"/>
    <w:rsid w:val="00047D6C"/>
    <w:rsid w:val="000841FB"/>
    <w:rsid w:val="000853AF"/>
    <w:rsid w:val="000A6EE0"/>
    <w:rsid w:val="000B5DF4"/>
    <w:rsid w:val="000B6971"/>
    <w:rsid w:val="000E78EC"/>
    <w:rsid w:val="00125E9A"/>
    <w:rsid w:val="001512AC"/>
    <w:rsid w:val="0017668B"/>
    <w:rsid w:val="00196703"/>
    <w:rsid w:val="001A3DDA"/>
    <w:rsid w:val="001A6F4D"/>
    <w:rsid w:val="001B3970"/>
    <w:rsid w:val="001E3FD2"/>
    <w:rsid w:val="001E7566"/>
    <w:rsid w:val="00204FB0"/>
    <w:rsid w:val="00212125"/>
    <w:rsid w:val="00224DED"/>
    <w:rsid w:val="002312F5"/>
    <w:rsid w:val="002459B4"/>
    <w:rsid w:val="00255370"/>
    <w:rsid w:val="00256246"/>
    <w:rsid w:val="00276BCF"/>
    <w:rsid w:val="002776FB"/>
    <w:rsid w:val="00280521"/>
    <w:rsid w:val="00287BDA"/>
    <w:rsid w:val="002B51FA"/>
    <w:rsid w:val="002B6CDA"/>
    <w:rsid w:val="002C25C1"/>
    <w:rsid w:val="002F31C0"/>
    <w:rsid w:val="00393B2E"/>
    <w:rsid w:val="003A7603"/>
    <w:rsid w:val="003C0CCA"/>
    <w:rsid w:val="003C183D"/>
    <w:rsid w:val="003D3611"/>
    <w:rsid w:val="003E3A20"/>
    <w:rsid w:val="003E5E7C"/>
    <w:rsid w:val="003F298C"/>
    <w:rsid w:val="0045151A"/>
    <w:rsid w:val="0045369B"/>
    <w:rsid w:val="00465756"/>
    <w:rsid w:val="004704CE"/>
    <w:rsid w:val="004874A7"/>
    <w:rsid w:val="004A674D"/>
    <w:rsid w:val="004C535F"/>
    <w:rsid w:val="004D0386"/>
    <w:rsid w:val="004E25AA"/>
    <w:rsid w:val="004F54EE"/>
    <w:rsid w:val="00503556"/>
    <w:rsid w:val="005177D5"/>
    <w:rsid w:val="00576F31"/>
    <w:rsid w:val="00596D01"/>
    <w:rsid w:val="005A38C8"/>
    <w:rsid w:val="005C6C46"/>
    <w:rsid w:val="005F49A1"/>
    <w:rsid w:val="005F620C"/>
    <w:rsid w:val="00602042"/>
    <w:rsid w:val="00602084"/>
    <w:rsid w:val="00606C62"/>
    <w:rsid w:val="00653EEB"/>
    <w:rsid w:val="00662523"/>
    <w:rsid w:val="006643FA"/>
    <w:rsid w:val="00664E0A"/>
    <w:rsid w:val="0069319E"/>
    <w:rsid w:val="006A2881"/>
    <w:rsid w:val="006D6C29"/>
    <w:rsid w:val="00714A98"/>
    <w:rsid w:val="007245FD"/>
    <w:rsid w:val="00733A79"/>
    <w:rsid w:val="007D503C"/>
    <w:rsid w:val="007E2FFE"/>
    <w:rsid w:val="008170CB"/>
    <w:rsid w:val="00831C32"/>
    <w:rsid w:val="00834097"/>
    <w:rsid w:val="00855114"/>
    <w:rsid w:val="008D12C1"/>
    <w:rsid w:val="008D54ED"/>
    <w:rsid w:val="008E458D"/>
    <w:rsid w:val="00900460"/>
    <w:rsid w:val="00902514"/>
    <w:rsid w:val="00916632"/>
    <w:rsid w:val="00916FF6"/>
    <w:rsid w:val="00945C82"/>
    <w:rsid w:val="009602E1"/>
    <w:rsid w:val="00963392"/>
    <w:rsid w:val="00997BAB"/>
    <w:rsid w:val="009A208D"/>
    <w:rsid w:val="009B4A82"/>
    <w:rsid w:val="009C3342"/>
    <w:rsid w:val="009E4B5E"/>
    <w:rsid w:val="009F29DE"/>
    <w:rsid w:val="009F64AB"/>
    <w:rsid w:val="009F69BB"/>
    <w:rsid w:val="00A0544E"/>
    <w:rsid w:val="00A067FF"/>
    <w:rsid w:val="00A14B96"/>
    <w:rsid w:val="00A44A15"/>
    <w:rsid w:val="00A70A3A"/>
    <w:rsid w:val="00A80336"/>
    <w:rsid w:val="00AA1892"/>
    <w:rsid w:val="00AC44E1"/>
    <w:rsid w:val="00AD001F"/>
    <w:rsid w:val="00AE2566"/>
    <w:rsid w:val="00B07D4D"/>
    <w:rsid w:val="00B153EB"/>
    <w:rsid w:val="00B20804"/>
    <w:rsid w:val="00B26AA0"/>
    <w:rsid w:val="00B5382A"/>
    <w:rsid w:val="00B570C8"/>
    <w:rsid w:val="00B75C08"/>
    <w:rsid w:val="00BE551D"/>
    <w:rsid w:val="00C11978"/>
    <w:rsid w:val="00C27D33"/>
    <w:rsid w:val="00C32BAB"/>
    <w:rsid w:val="00C6011A"/>
    <w:rsid w:val="00C655F8"/>
    <w:rsid w:val="00C6568F"/>
    <w:rsid w:val="00C72C03"/>
    <w:rsid w:val="00C86F58"/>
    <w:rsid w:val="00CA7E74"/>
    <w:rsid w:val="00CB6155"/>
    <w:rsid w:val="00CC70AE"/>
    <w:rsid w:val="00CE3F5E"/>
    <w:rsid w:val="00D037C2"/>
    <w:rsid w:val="00DA0A2A"/>
    <w:rsid w:val="00DB6224"/>
    <w:rsid w:val="00E01A68"/>
    <w:rsid w:val="00E2775F"/>
    <w:rsid w:val="00E94FC8"/>
    <w:rsid w:val="00E95C5D"/>
    <w:rsid w:val="00EE0509"/>
    <w:rsid w:val="00EE1F1F"/>
    <w:rsid w:val="00EE4411"/>
    <w:rsid w:val="00EF323D"/>
    <w:rsid w:val="00F01D1D"/>
    <w:rsid w:val="00F033DD"/>
    <w:rsid w:val="00F24B6A"/>
    <w:rsid w:val="00F24B93"/>
    <w:rsid w:val="00F3397D"/>
    <w:rsid w:val="00F5271C"/>
    <w:rsid w:val="00F63279"/>
    <w:rsid w:val="00F91DD5"/>
    <w:rsid w:val="00FC72E0"/>
    <w:rsid w:val="00FD0724"/>
    <w:rsid w:val="00FD2E85"/>
    <w:rsid w:val="00FD6A82"/>
    <w:rsid w:val="00FE27B7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C6C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7B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87BD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rsid w:val="005C6C46"/>
    <w:pPr>
      <w:spacing w:after="120" w:line="480" w:lineRule="auto"/>
      <w:ind w:left="360"/>
    </w:pPr>
  </w:style>
  <w:style w:type="table" w:styleId="TableGrid">
    <w:name w:val="Table Grid"/>
    <w:basedOn w:val="TableNormal"/>
    <w:rsid w:val="00BE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87BDA"/>
    <w:pPr>
      <w:spacing w:after="120" w:line="480" w:lineRule="auto"/>
    </w:pPr>
  </w:style>
  <w:style w:type="paragraph" w:styleId="DocumentMap">
    <w:name w:val="Document Map"/>
    <w:basedOn w:val="Normal"/>
    <w:semiHidden/>
    <w:rsid w:val="00F01D1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C6C4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7B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87BD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2">
    <w:name w:val="Body Text Indent 2"/>
    <w:basedOn w:val="Normal"/>
    <w:rsid w:val="005C6C46"/>
    <w:pPr>
      <w:spacing w:after="120" w:line="480" w:lineRule="auto"/>
      <w:ind w:left="360"/>
    </w:pPr>
  </w:style>
  <w:style w:type="table" w:styleId="TableGrid">
    <w:name w:val="Table Grid"/>
    <w:basedOn w:val="TableNormal"/>
    <w:rsid w:val="00BE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87BDA"/>
    <w:pPr>
      <w:spacing w:after="120" w:line="480" w:lineRule="auto"/>
    </w:pPr>
  </w:style>
  <w:style w:type="paragraph" w:styleId="DocumentMap">
    <w:name w:val="Document Map"/>
    <w:basedOn w:val="Normal"/>
    <w:semiHidden/>
    <w:rsid w:val="00F01D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anders\Application%20Data\Microsoft\Template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4CBD-8F61-42EF-9183-4D599E62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Salvation Army Calgary ARS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creator>The Salvation Army</dc:creator>
  <cp:lastModifiedBy>Catherine Skillin</cp:lastModifiedBy>
  <cp:revision>2</cp:revision>
  <cp:lastPrinted>2006-11-21T02:23:00Z</cp:lastPrinted>
  <dcterms:created xsi:type="dcterms:W3CDTF">2019-03-08T13:03:00Z</dcterms:created>
  <dcterms:modified xsi:type="dcterms:W3CDTF">2019-03-08T13:03:00Z</dcterms:modified>
</cp:coreProperties>
</file>