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7" w:rsidRPr="00DB20C7" w:rsidRDefault="00DB20C7" w:rsidP="00DB20C7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05"/>
        <w:gridCol w:w="3692"/>
        <w:gridCol w:w="1080"/>
        <w:gridCol w:w="1637"/>
      </w:tblGrid>
      <w:tr w:rsidR="00DB20C7" w:rsidRPr="00DB20C7" w:rsidTr="002949C4">
        <w:trPr>
          <w:trHeight w:hRule="exact" w:val="278"/>
        </w:trPr>
        <w:tc>
          <w:tcPr>
            <w:tcW w:w="1243" w:type="dxa"/>
            <w:vMerge w:val="restart"/>
          </w:tcPr>
          <w:p w:rsidR="00DB20C7" w:rsidRPr="00DB20C7" w:rsidRDefault="00DB20C7" w:rsidP="002949C4">
            <w:pPr>
              <w:pStyle w:val="TableParagraph"/>
              <w:spacing w:before="11"/>
              <w:ind w:left="0"/>
              <w:rPr>
                <w:rFonts w:ascii="Arial" w:hAnsi="Arial" w:cs="Arial"/>
                <w:b/>
              </w:rPr>
            </w:pPr>
          </w:p>
          <w:p w:rsidR="00DB20C7" w:rsidRPr="00DB20C7" w:rsidRDefault="00DB20C7" w:rsidP="002949C4">
            <w:pPr>
              <w:pStyle w:val="TableParagraph"/>
              <w:ind w:left="102"/>
              <w:rPr>
                <w:rFonts w:ascii="Arial" w:hAnsi="Arial" w:cs="Arial"/>
              </w:rPr>
            </w:pPr>
            <w:r w:rsidRPr="00DB20C7">
              <w:rPr>
                <w:rFonts w:ascii="Arial" w:hAnsi="Arial" w:cs="Arial"/>
                <w:noProof/>
              </w:rPr>
              <w:drawing>
                <wp:inline distT="0" distB="0" distL="0" distR="0" wp14:anchorId="6EF766E7" wp14:editId="2433AD19">
                  <wp:extent cx="599216" cy="713231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16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gridSpan w:val="4"/>
          </w:tcPr>
          <w:p w:rsidR="00DB20C7" w:rsidRPr="00DB20C7" w:rsidRDefault="00DB20C7" w:rsidP="002949C4">
            <w:pPr>
              <w:pStyle w:val="TableParagraph"/>
              <w:spacing w:line="265" w:lineRule="exact"/>
              <w:ind w:left="2875" w:right="2834"/>
              <w:jc w:val="center"/>
              <w:rPr>
                <w:rFonts w:ascii="Arial" w:hAnsi="Arial" w:cs="Arial"/>
                <w:b/>
              </w:rPr>
            </w:pPr>
            <w:r w:rsidRPr="00DB20C7">
              <w:rPr>
                <w:rFonts w:ascii="Arial" w:hAnsi="Arial" w:cs="Arial"/>
                <w:b/>
              </w:rPr>
              <w:t>OPERATING POLICY</w:t>
            </w:r>
          </w:p>
        </w:tc>
      </w:tr>
      <w:tr w:rsidR="00DB20C7" w:rsidRPr="00DB20C7" w:rsidTr="002949C4">
        <w:trPr>
          <w:trHeight w:hRule="exact" w:val="279"/>
        </w:trPr>
        <w:tc>
          <w:tcPr>
            <w:tcW w:w="1243" w:type="dxa"/>
            <w:vMerge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  <w:tc>
          <w:tcPr>
            <w:tcW w:w="5977" w:type="dxa"/>
            <w:gridSpan w:val="3"/>
          </w:tcPr>
          <w:p w:rsidR="00DB20C7" w:rsidRPr="00DB20C7" w:rsidRDefault="004E11AE" w:rsidP="002949C4">
            <w:pPr>
              <w:pStyle w:val="TableParagraph"/>
              <w:spacing w:line="266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[insert MU Name] </w:t>
            </w:r>
            <w:r w:rsidR="00DB20C7" w:rsidRPr="00DB20C7">
              <w:rPr>
                <w:rFonts w:ascii="Arial" w:hAnsi="Arial" w:cs="Arial"/>
                <w:b/>
              </w:rPr>
              <w:t>Community and Family Services</w:t>
            </w:r>
          </w:p>
        </w:tc>
        <w:tc>
          <w:tcPr>
            <w:tcW w:w="1637" w:type="dxa"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</w:tr>
      <w:tr w:rsidR="00DB20C7" w:rsidRPr="00DB20C7" w:rsidTr="002949C4">
        <w:trPr>
          <w:trHeight w:hRule="exact" w:val="286"/>
        </w:trPr>
        <w:tc>
          <w:tcPr>
            <w:tcW w:w="1243" w:type="dxa"/>
            <w:vMerge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2"/>
          </w:tcPr>
          <w:p w:rsidR="00DB20C7" w:rsidRPr="00DB20C7" w:rsidRDefault="004E11AE" w:rsidP="004E11AE">
            <w:pPr>
              <w:pStyle w:val="TableParagraph"/>
              <w:spacing w:line="27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8080"/>
              </w:rPr>
              <w:t>Payments Between Partner Agencies</w:t>
            </w:r>
          </w:p>
        </w:tc>
        <w:tc>
          <w:tcPr>
            <w:tcW w:w="1080" w:type="dxa"/>
          </w:tcPr>
          <w:p w:rsidR="00DB20C7" w:rsidRPr="00DB20C7" w:rsidRDefault="00DB20C7" w:rsidP="002949C4">
            <w:pPr>
              <w:pStyle w:val="TableParagraph"/>
              <w:spacing w:line="265" w:lineRule="exact"/>
              <w:ind w:left="143"/>
              <w:rPr>
                <w:rFonts w:ascii="Arial" w:hAnsi="Arial" w:cs="Arial"/>
              </w:rPr>
            </w:pPr>
            <w:r w:rsidRPr="00DB20C7">
              <w:rPr>
                <w:rFonts w:ascii="Arial" w:hAnsi="Arial" w:cs="Arial"/>
              </w:rPr>
              <w:t>Effective</w:t>
            </w:r>
          </w:p>
        </w:tc>
        <w:tc>
          <w:tcPr>
            <w:tcW w:w="1637" w:type="dxa"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</w:tr>
      <w:tr w:rsidR="00DB20C7" w:rsidRPr="00DB20C7" w:rsidTr="002949C4">
        <w:trPr>
          <w:trHeight w:hRule="exact" w:val="278"/>
        </w:trPr>
        <w:tc>
          <w:tcPr>
            <w:tcW w:w="1243" w:type="dxa"/>
            <w:vMerge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B20C7" w:rsidRPr="00DB20C7" w:rsidRDefault="00DB20C7" w:rsidP="002949C4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DB20C7">
              <w:rPr>
                <w:rFonts w:ascii="Arial" w:hAnsi="Arial" w:cs="Arial"/>
              </w:rPr>
              <w:t>Reviewed</w:t>
            </w:r>
          </w:p>
        </w:tc>
        <w:tc>
          <w:tcPr>
            <w:tcW w:w="6409" w:type="dxa"/>
            <w:gridSpan w:val="3"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</w:tr>
      <w:tr w:rsidR="00DB20C7" w:rsidRPr="00DB20C7" w:rsidTr="002949C4">
        <w:trPr>
          <w:trHeight w:hRule="exact" w:val="281"/>
        </w:trPr>
        <w:tc>
          <w:tcPr>
            <w:tcW w:w="1243" w:type="dxa"/>
            <w:vMerge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B20C7" w:rsidRPr="00DB20C7" w:rsidRDefault="00DB20C7" w:rsidP="002949C4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DB20C7">
              <w:rPr>
                <w:rFonts w:ascii="Arial" w:hAnsi="Arial" w:cs="Arial"/>
              </w:rPr>
              <w:t>Revised</w:t>
            </w:r>
          </w:p>
        </w:tc>
        <w:tc>
          <w:tcPr>
            <w:tcW w:w="6409" w:type="dxa"/>
            <w:gridSpan w:val="3"/>
          </w:tcPr>
          <w:p w:rsidR="00DB20C7" w:rsidRPr="00DB20C7" w:rsidRDefault="00DB20C7" w:rsidP="002949C4">
            <w:pPr>
              <w:rPr>
                <w:rFonts w:ascii="Arial" w:hAnsi="Arial" w:cs="Arial"/>
              </w:rPr>
            </w:pPr>
          </w:p>
        </w:tc>
      </w:tr>
    </w:tbl>
    <w:p w:rsidR="00DB20C7" w:rsidRPr="00DB20C7" w:rsidRDefault="00DB20C7" w:rsidP="00DB20C7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:rsidR="00DB20C7" w:rsidRPr="004E11AE" w:rsidRDefault="00DB20C7" w:rsidP="00DB20C7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DB20C7" w:rsidRPr="004E11AE" w:rsidRDefault="00DB20C7" w:rsidP="00DB20C7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4E11AE">
        <w:rPr>
          <w:rFonts w:ascii="Arial" w:hAnsi="Arial" w:cs="Arial"/>
          <w:i w:val="0"/>
          <w:sz w:val="22"/>
          <w:szCs w:val="22"/>
        </w:rPr>
        <w:t>Policy:</w:t>
      </w:r>
    </w:p>
    <w:p w:rsidR="00B216D1" w:rsidRDefault="00B216D1" w:rsidP="004E11AE">
      <w:pPr>
        <w:pStyle w:val="BodyText"/>
        <w:ind w:left="220" w:right="243"/>
        <w:rPr>
          <w:rFonts w:ascii="Arial" w:hAnsi="Arial" w:cs="Arial"/>
          <w:sz w:val="22"/>
          <w:szCs w:val="22"/>
        </w:rPr>
      </w:pPr>
    </w:p>
    <w:p w:rsidR="00DB20C7" w:rsidRPr="00DB20C7" w:rsidRDefault="004E11AE" w:rsidP="004E11AE">
      <w:pPr>
        <w:pStyle w:val="BodyText"/>
        <w:ind w:left="220" w:right="2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Recognizing that we have limited resources available to us, The Salvation Army [Insert MU name]</w:t>
      </w:r>
      <w:r w:rsidR="00DB20C7" w:rsidRPr="00DB20C7">
        <w:rPr>
          <w:rFonts w:ascii="Arial" w:hAnsi="Arial" w:cs="Arial"/>
          <w:sz w:val="22"/>
          <w:szCs w:val="22"/>
        </w:rPr>
        <w:t xml:space="preserve"> CFS </w:t>
      </w:r>
      <w:r>
        <w:rPr>
          <w:rFonts w:ascii="Arial" w:hAnsi="Arial" w:cs="Arial"/>
          <w:sz w:val="22"/>
          <w:szCs w:val="22"/>
        </w:rPr>
        <w:t xml:space="preserve">attempts to meet client needs according to our program guidelines and policies. We normally do not </w:t>
      </w:r>
      <w:r w:rsidR="00CA3EB2">
        <w:rPr>
          <w:rFonts w:ascii="Arial" w:hAnsi="Arial" w:cs="Arial"/>
          <w:sz w:val="22"/>
          <w:szCs w:val="22"/>
        </w:rPr>
        <w:t xml:space="preserve">make </w:t>
      </w:r>
      <w:r>
        <w:rPr>
          <w:rFonts w:ascii="Arial" w:hAnsi="Arial" w:cs="Arial"/>
          <w:sz w:val="22"/>
          <w:szCs w:val="22"/>
        </w:rPr>
        <w:t>pay</w:t>
      </w:r>
      <w:r w:rsidR="00CA3EB2">
        <w:rPr>
          <w:rFonts w:ascii="Arial" w:hAnsi="Arial" w:cs="Arial"/>
          <w:sz w:val="22"/>
          <w:szCs w:val="22"/>
        </w:rPr>
        <w:t>ments to</w:t>
      </w:r>
      <w:r>
        <w:rPr>
          <w:rFonts w:ascii="Arial" w:hAnsi="Arial" w:cs="Arial"/>
          <w:sz w:val="22"/>
          <w:szCs w:val="22"/>
        </w:rPr>
        <w:t xml:space="preserve"> partner agencies for services unless in very extenuating circumstances.</w:t>
      </w:r>
      <w:r w:rsidR="00DB20C7" w:rsidRPr="00DB20C7">
        <w:rPr>
          <w:rFonts w:ascii="Arial" w:hAnsi="Arial" w:cs="Arial"/>
          <w:sz w:val="22"/>
          <w:szCs w:val="22"/>
        </w:rPr>
        <w:t xml:space="preserve"> </w:t>
      </w:r>
    </w:p>
    <w:p w:rsidR="00DB20C7" w:rsidRPr="00DB20C7" w:rsidRDefault="00DB20C7" w:rsidP="00DB20C7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B216D1" w:rsidRDefault="00B216D1" w:rsidP="004E11AE">
      <w:pPr>
        <w:pStyle w:val="Heading5"/>
        <w:rPr>
          <w:rFonts w:ascii="Arial" w:hAnsi="Arial" w:cs="Arial"/>
          <w:i w:val="0"/>
          <w:sz w:val="22"/>
          <w:szCs w:val="22"/>
        </w:rPr>
      </w:pPr>
    </w:p>
    <w:p w:rsidR="004E11AE" w:rsidRPr="004E11AE" w:rsidRDefault="00DB20C7" w:rsidP="004E11AE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4E11AE">
        <w:rPr>
          <w:rFonts w:ascii="Arial" w:hAnsi="Arial" w:cs="Arial"/>
          <w:i w:val="0"/>
          <w:sz w:val="22"/>
          <w:szCs w:val="22"/>
        </w:rPr>
        <w:t>Procedure:</w:t>
      </w:r>
    </w:p>
    <w:p w:rsidR="004E11AE" w:rsidRDefault="004E11AE" w:rsidP="004E11AE">
      <w:pPr>
        <w:pStyle w:val="Heading5"/>
        <w:rPr>
          <w:rFonts w:ascii="Arial" w:hAnsi="Arial" w:cs="Arial"/>
          <w:sz w:val="22"/>
          <w:szCs w:val="22"/>
        </w:rPr>
      </w:pPr>
    </w:p>
    <w:p w:rsidR="004E11AE" w:rsidRDefault="00B216D1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The Case Worker will </w:t>
      </w:r>
      <w:r w:rsidR="004E11AE">
        <w:rPr>
          <w:rFonts w:ascii="Arial" w:hAnsi="Arial" w:cs="Arial"/>
          <w:b w:val="0"/>
          <w:i w:val="0"/>
          <w:sz w:val="22"/>
          <w:szCs w:val="22"/>
        </w:rPr>
        <w:t>interview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the client(s) to assess their needs and eligibility for assistance.</w:t>
      </w: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</w:p>
    <w:p w:rsidR="004E11AE" w:rsidRDefault="00B216D1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As much as possible, we will attempt to meet the client’s reasonable needs. </w:t>
      </w:r>
      <w:r w:rsidR="004E11AE">
        <w:rPr>
          <w:rFonts w:ascii="Arial" w:hAnsi="Arial" w:cs="Arial"/>
          <w:b w:val="0"/>
          <w:i w:val="0"/>
          <w:sz w:val="22"/>
          <w:szCs w:val="22"/>
        </w:rPr>
        <w:t xml:space="preserve">If the client has needs that we are unable to meet, a referral to another agency should be considered. If possible, the client should be referred to another agency where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they will </w:t>
      </w:r>
      <w:r w:rsidR="004E11AE">
        <w:rPr>
          <w:rFonts w:ascii="Arial" w:hAnsi="Arial" w:cs="Arial"/>
          <w:b w:val="0"/>
          <w:i w:val="0"/>
          <w:sz w:val="22"/>
          <w:szCs w:val="22"/>
        </w:rPr>
        <w:t xml:space="preserve">not </w:t>
      </w:r>
      <w:r>
        <w:rPr>
          <w:rFonts w:ascii="Arial" w:hAnsi="Arial" w:cs="Arial"/>
          <w:b w:val="0"/>
          <w:i w:val="0"/>
          <w:sz w:val="22"/>
          <w:szCs w:val="22"/>
        </w:rPr>
        <w:t>be charged for services rendered.</w:t>
      </w: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However, there may be extenuating circumstances where the required services are not available to the client without a fee.  </w:t>
      </w: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In these circumstances The Salvation Army [insert MU name] CFS will consider paying the fee for the client on a one time basis. (</w:t>
      </w:r>
      <w:proofErr w:type="spellStart"/>
      <w:proofErr w:type="gramStart"/>
      <w:r>
        <w:rPr>
          <w:rFonts w:ascii="Arial" w:hAnsi="Arial" w:cs="Arial"/>
          <w:b w:val="0"/>
          <w:i w:val="0"/>
          <w:sz w:val="22"/>
          <w:szCs w:val="22"/>
        </w:rPr>
        <w:t>eg</w:t>
      </w:r>
      <w:proofErr w:type="spellEnd"/>
      <w:proofErr w:type="gramEnd"/>
      <w:r>
        <w:rPr>
          <w:rFonts w:ascii="Arial" w:hAnsi="Arial" w:cs="Arial"/>
          <w:b w:val="0"/>
          <w:i w:val="0"/>
          <w:sz w:val="22"/>
          <w:szCs w:val="22"/>
        </w:rPr>
        <w:t>. eye exam for verified employment, or course tuition required for job search</w:t>
      </w:r>
      <w:r w:rsidR="00B216D1">
        <w:rPr>
          <w:rFonts w:ascii="Arial" w:hAnsi="Arial" w:cs="Arial"/>
          <w:b w:val="0"/>
          <w:i w:val="0"/>
          <w:sz w:val="22"/>
          <w:szCs w:val="22"/>
        </w:rPr>
        <w:t>)</w:t>
      </w: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</w:p>
    <w:p w:rsidR="00B216D1" w:rsidRDefault="00B216D1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If the case worker determines that a payment to another agency on behalf of the client is warranted, the worker should consult with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Director of the CFS program for their approval of the payment. </w:t>
      </w:r>
      <w:r>
        <w:rPr>
          <w:rFonts w:ascii="Arial" w:hAnsi="Arial" w:cs="Arial"/>
          <w:b w:val="0"/>
          <w:i w:val="0"/>
          <w:sz w:val="22"/>
          <w:szCs w:val="22"/>
        </w:rPr>
        <w:t>The case worker should be prepared to show the DCFS the applicable documentation. This documentation may include:</w:t>
      </w:r>
    </w:p>
    <w:p w:rsidR="00B216D1" w:rsidRDefault="00B216D1" w:rsidP="00B216D1">
      <w:pPr>
        <w:pStyle w:val="Heading5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Assessment Documents</w:t>
      </w:r>
    </w:p>
    <w:p w:rsidR="00B216D1" w:rsidRDefault="00B216D1" w:rsidP="00B216D1">
      <w:pPr>
        <w:pStyle w:val="Heading5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Financial Statements</w:t>
      </w:r>
    </w:p>
    <w:p w:rsidR="00B216D1" w:rsidRDefault="00B216D1" w:rsidP="00B216D1">
      <w:pPr>
        <w:pStyle w:val="Heading5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Documentation Showing Request For Assistance</w:t>
      </w:r>
    </w:p>
    <w:p w:rsidR="00B216D1" w:rsidRDefault="00B216D1" w:rsidP="00B216D1">
      <w:pPr>
        <w:pStyle w:val="Heading5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Any Other Relevant Document</w:t>
      </w:r>
      <w:r w:rsidR="00CA3EB2">
        <w:rPr>
          <w:rFonts w:ascii="Arial" w:hAnsi="Arial" w:cs="Arial"/>
          <w:b w:val="0"/>
          <w:i w:val="0"/>
          <w:sz w:val="22"/>
          <w:szCs w:val="22"/>
        </w:rPr>
        <w:t>ation</w:t>
      </w:r>
    </w:p>
    <w:p w:rsidR="004E11AE" w:rsidRDefault="004E11AE" w:rsidP="004E11AE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</w:p>
    <w:p w:rsidR="00DB20C7" w:rsidRPr="00DB20C7" w:rsidRDefault="00B216D1" w:rsidP="00B216D1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In all cases of these decisions, the availability of program budget will be a primary consideration.</w:t>
      </w:r>
      <w:bookmarkStart w:id="0" w:name="_GoBack"/>
      <w:bookmarkEnd w:id="0"/>
    </w:p>
    <w:p w:rsidR="00DB20C7" w:rsidRPr="00DB20C7" w:rsidRDefault="00DB20C7" w:rsidP="00DB20C7">
      <w:pPr>
        <w:pStyle w:val="BodyText"/>
        <w:rPr>
          <w:rFonts w:ascii="Arial" w:hAnsi="Arial" w:cs="Arial"/>
          <w:sz w:val="22"/>
          <w:szCs w:val="22"/>
        </w:rPr>
      </w:pPr>
    </w:p>
    <w:p w:rsidR="00DB20C7" w:rsidRPr="00DB20C7" w:rsidRDefault="00DB20C7" w:rsidP="00DB20C7">
      <w:pPr>
        <w:pStyle w:val="BodyText"/>
        <w:rPr>
          <w:rFonts w:ascii="Arial" w:hAnsi="Arial" w:cs="Arial"/>
          <w:sz w:val="22"/>
          <w:szCs w:val="22"/>
        </w:rPr>
      </w:pPr>
    </w:p>
    <w:sectPr w:rsidR="00DB20C7" w:rsidRPr="00DB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6B2"/>
    <w:multiLevelType w:val="hybridMultilevel"/>
    <w:tmpl w:val="5C32792C"/>
    <w:lvl w:ilvl="0" w:tplc="07FE1D04">
      <w:start w:val="1"/>
      <w:numFmt w:val="decimal"/>
      <w:lvlText w:val="%1."/>
      <w:lvlJc w:val="left"/>
      <w:pPr>
        <w:ind w:left="580" w:hanging="360"/>
        <w:jc w:val="left"/>
      </w:pPr>
      <w:rPr>
        <w:rFonts w:ascii="Candara" w:eastAsia="Candara" w:hAnsi="Candara" w:cs="Candara" w:hint="default"/>
        <w:spacing w:val="-1"/>
        <w:w w:val="99"/>
        <w:sz w:val="20"/>
        <w:szCs w:val="20"/>
      </w:rPr>
    </w:lvl>
    <w:lvl w:ilvl="1" w:tplc="A5D8E856">
      <w:start w:val="1"/>
      <w:numFmt w:val="lowerLetter"/>
      <w:lvlText w:val="%2)"/>
      <w:lvlJc w:val="left"/>
      <w:pPr>
        <w:ind w:left="940" w:hanging="360"/>
        <w:jc w:val="left"/>
      </w:pPr>
      <w:rPr>
        <w:rFonts w:ascii="Candara" w:eastAsia="Candara" w:hAnsi="Candara" w:cs="Candara" w:hint="default"/>
        <w:w w:val="99"/>
        <w:sz w:val="20"/>
        <w:szCs w:val="20"/>
      </w:rPr>
    </w:lvl>
    <w:lvl w:ilvl="2" w:tplc="C0CC094E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480EA6F0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BBF098F4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775A22EA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1380CCE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AEF80788"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38686590"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">
    <w:nsid w:val="48DD1AC0"/>
    <w:multiLevelType w:val="hybridMultilevel"/>
    <w:tmpl w:val="9FE0E304"/>
    <w:lvl w:ilvl="0" w:tplc="0E5C3C66">
      <w:start w:val="6"/>
      <w:numFmt w:val="lowerLetter"/>
      <w:lvlText w:val="%1)"/>
      <w:lvlJc w:val="left"/>
      <w:pPr>
        <w:ind w:left="880" w:hanging="360"/>
        <w:jc w:val="left"/>
      </w:pPr>
      <w:rPr>
        <w:rFonts w:ascii="Candara" w:eastAsia="Candara" w:hAnsi="Candara" w:cs="Candara" w:hint="default"/>
        <w:w w:val="99"/>
        <w:sz w:val="20"/>
        <w:szCs w:val="20"/>
      </w:rPr>
    </w:lvl>
    <w:lvl w:ilvl="1" w:tplc="7D3CEE1A">
      <w:numFmt w:val="bullet"/>
      <w:lvlText w:val="–"/>
      <w:lvlJc w:val="left"/>
      <w:pPr>
        <w:ind w:left="880" w:hanging="144"/>
      </w:pPr>
      <w:rPr>
        <w:rFonts w:ascii="Candara" w:eastAsia="Candara" w:hAnsi="Candara" w:cs="Candara" w:hint="default"/>
        <w:w w:val="99"/>
        <w:sz w:val="20"/>
        <w:szCs w:val="20"/>
      </w:rPr>
    </w:lvl>
    <w:lvl w:ilvl="2" w:tplc="FD6A5362">
      <w:numFmt w:val="bullet"/>
      <w:lvlText w:val="•"/>
      <w:lvlJc w:val="left"/>
      <w:pPr>
        <w:ind w:left="2500" w:hanging="144"/>
      </w:pPr>
      <w:rPr>
        <w:rFonts w:hint="default"/>
      </w:rPr>
    </w:lvl>
    <w:lvl w:ilvl="3" w:tplc="5610FDF4">
      <w:numFmt w:val="bullet"/>
      <w:lvlText w:val="•"/>
      <w:lvlJc w:val="left"/>
      <w:pPr>
        <w:ind w:left="3310" w:hanging="144"/>
      </w:pPr>
      <w:rPr>
        <w:rFonts w:hint="default"/>
      </w:rPr>
    </w:lvl>
    <w:lvl w:ilvl="4" w:tplc="32A06F7C">
      <w:numFmt w:val="bullet"/>
      <w:lvlText w:val="•"/>
      <w:lvlJc w:val="left"/>
      <w:pPr>
        <w:ind w:left="4120" w:hanging="144"/>
      </w:pPr>
      <w:rPr>
        <w:rFonts w:hint="default"/>
      </w:rPr>
    </w:lvl>
    <w:lvl w:ilvl="5" w:tplc="80C0D8C8">
      <w:numFmt w:val="bullet"/>
      <w:lvlText w:val="•"/>
      <w:lvlJc w:val="left"/>
      <w:pPr>
        <w:ind w:left="4930" w:hanging="144"/>
      </w:pPr>
      <w:rPr>
        <w:rFonts w:hint="default"/>
      </w:rPr>
    </w:lvl>
    <w:lvl w:ilvl="6" w:tplc="224C4996">
      <w:numFmt w:val="bullet"/>
      <w:lvlText w:val="•"/>
      <w:lvlJc w:val="left"/>
      <w:pPr>
        <w:ind w:left="5740" w:hanging="144"/>
      </w:pPr>
      <w:rPr>
        <w:rFonts w:hint="default"/>
      </w:rPr>
    </w:lvl>
    <w:lvl w:ilvl="7" w:tplc="8D3499FE">
      <w:numFmt w:val="bullet"/>
      <w:lvlText w:val="•"/>
      <w:lvlJc w:val="left"/>
      <w:pPr>
        <w:ind w:left="6550" w:hanging="144"/>
      </w:pPr>
      <w:rPr>
        <w:rFonts w:hint="default"/>
      </w:rPr>
    </w:lvl>
    <w:lvl w:ilvl="8" w:tplc="4FBC390E">
      <w:numFmt w:val="bullet"/>
      <w:lvlText w:val="•"/>
      <w:lvlJc w:val="left"/>
      <w:pPr>
        <w:ind w:left="7360" w:hanging="144"/>
      </w:pPr>
      <w:rPr>
        <w:rFonts w:hint="default"/>
      </w:rPr>
    </w:lvl>
  </w:abstractNum>
  <w:abstractNum w:abstractNumId="2">
    <w:nsid w:val="638A6D2E"/>
    <w:multiLevelType w:val="hybridMultilevel"/>
    <w:tmpl w:val="99F84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7"/>
    <w:rsid w:val="004E11AE"/>
    <w:rsid w:val="00B216D1"/>
    <w:rsid w:val="00CA3EB2"/>
    <w:rsid w:val="00DB20C7"/>
    <w:rsid w:val="00E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0C7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Heading2">
    <w:name w:val="heading 2"/>
    <w:basedOn w:val="Normal"/>
    <w:link w:val="Heading2Char"/>
    <w:uiPriority w:val="1"/>
    <w:qFormat/>
    <w:rsid w:val="00DB20C7"/>
    <w:pPr>
      <w:spacing w:before="46"/>
      <w:ind w:left="940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B20C7"/>
    <w:pPr>
      <w:ind w:left="220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B20C7"/>
    <w:rPr>
      <w:rFonts w:ascii="Candara" w:eastAsia="Candara" w:hAnsi="Candara" w:cs="Canda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20C7"/>
    <w:rPr>
      <w:rFonts w:ascii="Candara" w:eastAsia="Candara" w:hAnsi="Candara" w:cs="Candara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20C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20C7"/>
    <w:rPr>
      <w:rFonts w:ascii="Candara" w:eastAsia="Candara" w:hAnsi="Candara" w:cs="Candara"/>
      <w:sz w:val="20"/>
      <w:szCs w:val="20"/>
    </w:rPr>
  </w:style>
  <w:style w:type="paragraph" w:styleId="ListParagraph">
    <w:name w:val="List Paragraph"/>
    <w:basedOn w:val="Normal"/>
    <w:uiPriority w:val="1"/>
    <w:qFormat/>
    <w:rsid w:val="00DB20C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B20C7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C7"/>
    <w:rPr>
      <w:rFonts w:ascii="Tahoma" w:eastAsia="Candar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0C7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Heading2">
    <w:name w:val="heading 2"/>
    <w:basedOn w:val="Normal"/>
    <w:link w:val="Heading2Char"/>
    <w:uiPriority w:val="1"/>
    <w:qFormat/>
    <w:rsid w:val="00DB20C7"/>
    <w:pPr>
      <w:spacing w:before="46"/>
      <w:ind w:left="940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B20C7"/>
    <w:pPr>
      <w:ind w:left="220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B20C7"/>
    <w:rPr>
      <w:rFonts w:ascii="Candara" w:eastAsia="Candara" w:hAnsi="Candara" w:cs="Canda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20C7"/>
    <w:rPr>
      <w:rFonts w:ascii="Candara" w:eastAsia="Candara" w:hAnsi="Candara" w:cs="Candara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20C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20C7"/>
    <w:rPr>
      <w:rFonts w:ascii="Candara" w:eastAsia="Candara" w:hAnsi="Candara" w:cs="Candara"/>
      <w:sz w:val="20"/>
      <w:szCs w:val="20"/>
    </w:rPr>
  </w:style>
  <w:style w:type="paragraph" w:styleId="ListParagraph">
    <w:name w:val="List Paragraph"/>
    <w:basedOn w:val="Normal"/>
    <w:uiPriority w:val="1"/>
    <w:qFormat/>
    <w:rsid w:val="00DB20C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B20C7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C7"/>
    <w:rPr>
      <w:rFonts w:ascii="Tahoma" w:eastAsia="Candar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2019-03-06T20:46:00Z</dcterms:created>
  <dcterms:modified xsi:type="dcterms:W3CDTF">2019-03-06T20:46:00Z</dcterms:modified>
</cp:coreProperties>
</file>