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B692" w14:textId="4527CE5B" w:rsidR="00435CFE" w:rsidRDefault="0098086C" w:rsidP="0098086C">
      <w:pPr>
        <w:pStyle w:val="Title"/>
        <w:rPr>
          <w:lang w:val="en-CA"/>
        </w:rPr>
      </w:pPr>
      <w:r>
        <w:rPr>
          <w:lang w:val="en-CA"/>
        </w:rPr>
        <w:t>Inclusion &amp; Exclusion Criteria</w:t>
      </w:r>
    </w:p>
    <w:p w14:paraId="0F4CE496" w14:textId="52EC8440" w:rsidR="00BA3E74" w:rsidRDefault="00BA3E74" w:rsidP="00BA3E74">
      <w:pPr>
        <w:rPr>
          <w:lang w:val="en-CA"/>
        </w:rPr>
      </w:pPr>
      <w:r>
        <w:rPr>
          <w:b/>
          <w:bCs/>
          <w:lang w:val="en-CA"/>
        </w:rPr>
        <w:t>Shelters save lives.</w:t>
      </w:r>
      <w:r>
        <w:rPr>
          <w:lang w:val="en-CA"/>
        </w:rPr>
        <w:t xml:space="preserve"> At a fundamental level, emergency shelters exist to provide “</w:t>
      </w:r>
      <w:r>
        <w:rPr>
          <w:b/>
          <w:bCs/>
          <w:lang w:val="en-CA"/>
        </w:rPr>
        <w:t>harm reduction</w:t>
      </w:r>
      <w:r>
        <w:rPr>
          <w:lang w:val="en-CA"/>
        </w:rPr>
        <w:t>” in that they reduce the harms associated with sleeping outside, staying with strangers, or remaining in an unsafe home. These harms may be environmental (extreme heat, cold weather, rain or wet conditions, staying in places not fit for human habitation) or interpersonal (attacks, sexual assaults, exploitation).</w:t>
      </w:r>
      <w:r>
        <w:rPr>
          <w:rStyle w:val="FootnoteReference"/>
          <w:lang w:val="en-CA"/>
        </w:rPr>
        <w:footnoteReference w:id="1"/>
      </w:r>
      <w:r>
        <w:rPr>
          <w:lang w:val="en-CA"/>
        </w:rPr>
        <w:t xml:space="preserve"> Given the role that shelters can play in meeting basic needs and protecting people from serious harms, The Salvation Army is committed to ensuring that our shelters are as accessible and welcoming as possible.</w:t>
      </w:r>
    </w:p>
    <w:p w14:paraId="1F0F5299" w14:textId="20B828E2" w:rsidR="00BA3E74" w:rsidRDefault="00BA3E74" w:rsidP="00BA3E74">
      <w:pPr>
        <w:rPr>
          <w:lang w:val="en-CA"/>
        </w:rPr>
      </w:pPr>
      <w:r>
        <w:rPr>
          <w:lang w:val="en-CA"/>
        </w:rPr>
        <w:t>Emergency shelters serve people who are deeply dependent on alcohol or drugs, people who are struggling to maintain their sobriety, and people who may drink or take drugs occasionally but are not addicted.</w:t>
      </w:r>
      <w:r w:rsidR="00CD7BFE">
        <w:rPr>
          <w:lang w:val="en-CA"/>
        </w:rPr>
        <w:t xml:space="preserve"> At the same time,</w:t>
      </w:r>
      <w:r>
        <w:rPr>
          <w:lang w:val="en-CA"/>
        </w:rPr>
        <w:t xml:space="preserve"> </w:t>
      </w:r>
      <w:r w:rsidR="00CD7BFE">
        <w:rPr>
          <w:lang w:val="en-CA"/>
        </w:rPr>
        <w:t xml:space="preserve">shelters </w:t>
      </w:r>
      <w:r>
        <w:rPr>
          <w:lang w:val="en-CA"/>
        </w:rPr>
        <w:t xml:space="preserve">must also manage their own risks and liabilities. Balancing these various needs is not easy and there is no perfect solution. The Salvation Army works to maximize access to shelter while maintaining a safe environment. Emergency </w:t>
      </w:r>
      <w:r w:rsidRPr="00D14527">
        <w:rPr>
          <w:bCs/>
          <w:lang w:val="en-CA"/>
        </w:rPr>
        <w:t>shelter</w:t>
      </w:r>
      <w:r>
        <w:rPr>
          <w:b/>
          <w:bCs/>
          <w:lang w:val="en-CA"/>
        </w:rPr>
        <w:t xml:space="preserve"> intake and discharge criteria are</w:t>
      </w:r>
      <w:r>
        <w:rPr>
          <w:lang w:val="en-CA"/>
        </w:rPr>
        <w:t xml:space="preserve"> </w:t>
      </w:r>
      <w:r>
        <w:rPr>
          <w:b/>
          <w:bCs/>
          <w:lang w:val="en-CA"/>
        </w:rPr>
        <w:t>based on people’s behaviours</w:t>
      </w:r>
      <w:r>
        <w:rPr>
          <w:lang w:val="en-CA"/>
        </w:rPr>
        <w:t xml:space="preserve">: </w:t>
      </w:r>
    </w:p>
    <w:p w14:paraId="29E06C8F" w14:textId="4767DCB9" w:rsidR="00BA3E74" w:rsidRDefault="00BA3E74" w:rsidP="00BA3E74">
      <w:pPr>
        <w:pStyle w:val="ListParagraph"/>
        <w:rPr>
          <w:lang w:val="en-CA"/>
        </w:rPr>
      </w:pPr>
      <w:r>
        <w:rPr>
          <w:lang w:val="en-CA"/>
        </w:rPr>
        <w:t xml:space="preserve">In communities where there are few emergency shelter options available, The Salvation Army places as few limits as possible on client behaviours to ensure that anyone who needs shelter has access. In these cases, people may be turned away or discharged from emergency shelter only if they pose a health or safety risk to themselves or to others. </w:t>
      </w:r>
    </w:p>
    <w:p w14:paraId="21B16D89" w14:textId="013D494D" w:rsidR="00BA3E74" w:rsidRDefault="00BA3E74" w:rsidP="00BA3E74">
      <w:pPr>
        <w:pStyle w:val="ListParagraph"/>
        <w:rPr>
          <w:lang w:val="en-CA"/>
        </w:rPr>
      </w:pPr>
      <w:r>
        <w:rPr>
          <w:lang w:val="en-CA"/>
        </w:rPr>
        <w:t>In communities where people have access to no-barrier or low-barrier emergency shelters,</w:t>
      </w:r>
      <w:r>
        <w:rPr>
          <w:sz w:val="20"/>
          <w:szCs w:val="20"/>
          <w:lang w:val="en-CA"/>
        </w:rPr>
        <w:t xml:space="preserve"> </w:t>
      </w:r>
      <w:r>
        <w:rPr>
          <w:lang w:val="en-CA"/>
        </w:rPr>
        <w:t xml:space="preserve">The Salvation Army may set higher expectations for client behaviours. In these cases, people may be turned away or discharged from shelter for actively disturbing others and not responding to staff interventions. However, in cold, rainy, or extreme heat weather conditions, restrictions on access to shelter are lowered as needed to encourage people to come inside and reduce their risk of injury, illness, or death. </w:t>
      </w:r>
    </w:p>
    <w:p w14:paraId="2EC3F477" w14:textId="375A7C48" w:rsidR="00BA3E74" w:rsidRDefault="00BA3E74" w:rsidP="00BA3E74">
      <w:pPr>
        <w:pStyle w:val="ListParagraph"/>
        <w:rPr>
          <w:sz w:val="20"/>
          <w:szCs w:val="20"/>
          <w:lang w:val="en-CA"/>
        </w:rPr>
      </w:pPr>
      <w:r>
        <w:rPr>
          <w:lang w:val="en-CA"/>
        </w:rPr>
        <w:t>In all cases, restrictions on admission are based on behavioral standards, and not on absolute sobriety.</w:t>
      </w:r>
      <w:r>
        <w:rPr>
          <w:sz w:val="20"/>
          <w:szCs w:val="20"/>
          <w:lang w:val="en-CA"/>
        </w:rPr>
        <w:t xml:space="preserve"> </w:t>
      </w:r>
      <w:r>
        <w:rPr>
          <w:lang w:val="en-CA"/>
        </w:rPr>
        <w:t xml:space="preserve">When applying the rules, Salvation Army staff (in their own words) </w:t>
      </w:r>
      <w:r>
        <w:rPr>
          <w:lang w:val="en-CA"/>
        </w:rPr>
        <w:lastRenderedPageBreak/>
        <w:t>“err on the side of compassion,” “think in the grey” (as opposed to black and white), “put relationships over rules,” and “listen with ears of learning, not ears of judgment.”</w:t>
      </w:r>
      <w:r>
        <w:rPr>
          <w:rStyle w:val="FootnoteReference"/>
          <w:lang w:val="en-CA"/>
        </w:rPr>
        <w:footnoteReference w:id="2"/>
      </w:r>
    </w:p>
    <w:p w14:paraId="274DA918" w14:textId="77777777" w:rsidR="00BA3E74" w:rsidRPr="00BA3E74" w:rsidRDefault="00BA3E74" w:rsidP="00BA3E74">
      <w:pPr>
        <w:pStyle w:val="ListParagraph"/>
        <w:autoSpaceDE w:val="0"/>
        <w:autoSpaceDN w:val="0"/>
        <w:adjustRightInd w:val="0"/>
        <w:spacing w:before="240" w:after="0" w:line="240" w:lineRule="auto"/>
        <w:rPr>
          <w:rFonts w:ascii="Calibri" w:hAnsi="Calibri" w:cs="Calibri"/>
          <w:color w:val="000000"/>
          <w:sz w:val="28"/>
          <w:szCs w:val="28"/>
          <w:lang w:val="en-CA"/>
        </w:rPr>
      </w:pPr>
      <w:r w:rsidRPr="00BA3E74">
        <w:rPr>
          <w:lang w:val="en-CA"/>
        </w:rPr>
        <w:t xml:space="preserve">Where possible, </w:t>
      </w:r>
      <w:proofErr w:type="gramStart"/>
      <w:r w:rsidRPr="00BA3E74">
        <w:rPr>
          <w:lang w:val="en-CA"/>
        </w:rPr>
        <w:t>staff ensure</w:t>
      </w:r>
      <w:proofErr w:type="gramEnd"/>
      <w:r w:rsidRPr="00BA3E74">
        <w:rPr>
          <w:lang w:val="en-CA"/>
        </w:rPr>
        <w:t xml:space="preserve"> that clients who are discharged or turned away have a bed at another she</w:t>
      </w:r>
      <w:r>
        <w:rPr>
          <w:lang w:val="en-CA"/>
        </w:rPr>
        <w:t xml:space="preserve">lter or another place to stay. </w:t>
      </w:r>
    </w:p>
    <w:p w14:paraId="718F9252" w14:textId="26E2BC7C" w:rsidR="00BA3E74" w:rsidRDefault="00BA3E74" w:rsidP="00BA3E74">
      <w:pPr>
        <w:rPr>
          <w:lang w:val="en-CA"/>
        </w:rPr>
      </w:pPr>
      <w:r>
        <w:rPr>
          <w:lang w:val="en-CA"/>
        </w:rPr>
        <w:br/>
      </w:r>
      <w:r w:rsidRPr="00BA3E74">
        <w:rPr>
          <w:lang w:val="en-CA"/>
        </w:rPr>
        <w:t>If a client is worried that admitting to using substances will lead to discharge from emergency shelter, the client is likely to hide and lie about substance use to staff. This reduces staff opportunities to provide meaningful supports. Using a person-centred, harm reduction–based, non-judgmental approach has been established as a key best practice for developing the kind of honest, trusting relationship with clients that can lead to positive life change.</w:t>
      </w:r>
      <w:r>
        <w:rPr>
          <w:rStyle w:val="FootnoteReference"/>
          <w:lang w:val="en-CA"/>
        </w:rPr>
        <w:footnoteReference w:id="3"/>
      </w:r>
      <w:r w:rsidRPr="00BA3E74">
        <w:rPr>
          <w:lang w:val="en-CA"/>
        </w:rPr>
        <w:t xml:space="preserve"> </w:t>
      </w:r>
    </w:p>
    <w:p w14:paraId="0A858AFC" w14:textId="3041EC6E" w:rsidR="00BA3E74" w:rsidRDefault="00BA3E74" w:rsidP="00BA3E74">
      <w:pPr>
        <w:rPr>
          <w:lang w:val="en-CA"/>
        </w:rPr>
      </w:pPr>
      <w:r w:rsidRPr="00BA3E74">
        <w:rPr>
          <w:rStyle w:val="Emphasis"/>
        </w:rPr>
        <w:t xml:space="preserve">Salvation Army shelters should be clear and upfront about their inclusion and exclusion criteria, as well as their expectations for client </w:t>
      </w:r>
      <w:proofErr w:type="spellStart"/>
      <w:r w:rsidRPr="00BA3E74">
        <w:rPr>
          <w:rStyle w:val="Emphasis"/>
        </w:rPr>
        <w:t>behaviour</w:t>
      </w:r>
      <w:proofErr w:type="spellEnd"/>
      <w:r w:rsidRPr="00BA3E74">
        <w:rPr>
          <w:rStyle w:val="Emphasis"/>
        </w:rPr>
        <w:t>.</w:t>
      </w:r>
      <w:r>
        <w:rPr>
          <w:lang w:val="en-CA"/>
        </w:rPr>
        <w:t xml:space="preserve"> Rather than a culture of authoritarianism and rules, we prefer that a set of mutual rights and responsibilities be agreed to</w:t>
      </w:r>
      <w:r w:rsidR="00630DEC">
        <w:rPr>
          <w:lang w:val="en-CA"/>
        </w:rPr>
        <w:t xml:space="preserve"> by both the client and the shelter,</w:t>
      </w:r>
      <w:r>
        <w:rPr>
          <w:lang w:val="en-CA"/>
        </w:rPr>
        <w:t xml:space="preserve"> upon admission. </w:t>
      </w:r>
    </w:p>
    <w:p w14:paraId="6365B112" w14:textId="0DFAD0D1" w:rsidR="00BA3E74" w:rsidRPr="00BA3E74" w:rsidRDefault="00BA3E74" w:rsidP="00BA3E74">
      <w:pPr>
        <w:rPr>
          <w:lang w:val="en-CA"/>
        </w:rPr>
      </w:pPr>
      <w:r>
        <w:rPr>
          <w:lang w:val="en-CA"/>
        </w:rPr>
        <w:sym w:font="Wingdings" w:char="F0F0"/>
      </w:r>
      <w:r>
        <w:rPr>
          <w:lang w:val="en-CA"/>
        </w:rPr>
        <w:t xml:space="preserve">Please see the Sample Emergency Shelter Occupancy Handbook attached, especially for a sample </w:t>
      </w:r>
      <w:r w:rsidRPr="00BA3E74">
        <w:rPr>
          <w:rStyle w:val="Emphasis"/>
        </w:rPr>
        <w:t>Rights and Responsibilities</w:t>
      </w:r>
      <w:r>
        <w:rPr>
          <w:lang w:val="en-CA"/>
        </w:rPr>
        <w:t xml:space="preserve"> statement and the </w:t>
      </w:r>
      <w:proofErr w:type="spellStart"/>
      <w:r w:rsidRPr="00BA3E74">
        <w:rPr>
          <w:rStyle w:val="Emphasis"/>
        </w:rPr>
        <w:t>Behaviour</w:t>
      </w:r>
      <w:proofErr w:type="spellEnd"/>
      <w:r w:rsidRPr="00BA3E74">
        <w:rPr>
          <w:rStyle w:val="Emphasis"/>
        </w:rPr>
        <w:t>-Based Follow-Up Table</w:t>
      </w:r>
      <w:r>
        <w:rPr>
          <w:lang w:val="en-CA"/>
        </w:rPr>
        <w:t xml:space="preserve"> which outlines how dangerous client behaviours will be addressed, up to and including </w:t>
      </w:r>
      <w:r w:rsidR="00D14527">
        <w:rPr>
          <w:lang w:val="en-CA"/>
        </w:rPr>
        <w:t>discharge from</w:t>
      </w:r>
      <w:bookmarkStart w:id="0" w:name="_GoBack"/>
      <w:bookmarkEnd w:id="0"/>
      <w:r>
        <w:rPr>
          <w:lang w:val="en-CA"/>
        </w:rPr>
        <w:t xml:space="preserve"> the program. </w:t>
      </w:r>
    </w:p>
    <w:sectPr w:rsidR="00BA3E74" w:rsidRPr="00BA3E74" w:rsidSect="001D261A">
      <w:headerReference w:type="default" r:id="rId9"/>
      <w:footerReference w:type="default" r:id="rId10"/>
      <w:endnotePr>
        <w:numFmt w:val="decimal"/>
      </w:endnotePr>
      <w:pgSz w:w="12240" w:h="15840"/>
      <w:pgMar w:top="1134" w:right="1134" w:bottom="1134" w:left="1134" w:header="720" w:footer="567" w:gutter="0"/>
      <w:pgNumType w:start="5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283E" w14:textId="77777777" w:rsidR="00406E20" w:rsidRDefault="00406E20" w:rsidP="00D632CA">
      <w:r>
        <w:separator/>
      </w:r>
    </w:p>
    <w:p w14:paraId="57858FAA" w14:textId="77777777" w:rsidR="00406E20" w:rsidRDefault="00406E20" w:rsidP="00D632CA"/>
  </w:endnote>
  <w:endnote w:type="continuationSeparator" w:id="0">
    <w:p w14:paraId="2D141EC5" w14:textId="77777777" w:rsidR="00406E20" w:rsidRDefault="00406E20" w:rsidP="00D632CA">
      <w:r>
        <w:continuationSeparator/>
      </w:r>
    </w:p>
    <w:p w14:paraId="77ED43C1" w14:textId="77777777" w:rsidR="00406E20" w:rsidRDefault="00406E20"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F607" w14:textId="6E2BCD8D" w:rsidR="0063519A" w:rsidRPr="00CF529B" w:rsidRDefault="009B5ECA" w:rsidP="001D261A">
    <w:pPr>
      <w:pStyle w:val="Footer"/>
      <w:ind w:firstLine="720"/>
      <w:jc w:val="center"/>
    </w:pPr>
    <w:r>
      <w:rPr>
        <w:noProof/>
        <w:lang w:val="en-CA" w:eastAsia="en-CA"/>
      </w:rPr>
      <w:drawing>
        <wp:anchor distT="0" distB="0" distL="114300" distR="114300" simplePos="0" relativeHeight="251658240" behindDoc="1" locked="0" layoutInCell="1" allowOverlap="1" wp14:anchorId="6A2A9F00" wp14:editId="0022A1B7">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736242">
      <w:t>Emergency Shelter Operating Principles – Social Services Canada &amp; Bermuda</w:t>
    </w:r>
    <w:r w:rsidR="006303A8">
      <w:tab/>
      <w:t xml:space="preserve">  </w:t>
    </w:r>
    <w:r w:rsidR="0063519A">
      <w:t xml:space="preserve"> </w:t>
    </w:r>
    <w:sdt>
      <w:sdtPr>
        <w:id w:val="-1595774226"/>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D14527">
          <w:rPr>
            <w:noProof/>
          </w:rPr>
          <w:t>58</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A43C" w14:textId="77777777" w:rsidR="00406E20" w:rsidRDefault="00406E20" w:rsidP="00D632CA">
      <w:r>
        <w:separator/>
      </w:r>
    </w:p>
  </w:footnote>
  <w:footnote w:type="continuationSeparator" w:id="0">
    <w:p w14:paraId="40F702E0" w14:textId="77777777" w:rsidR="00406E20" w:rsidRDefault="00406E20" w:rsidP="00D632CA">
      <w:r>
        <w:continuationSeparator/>
      </w:r>
    </w:p>
    <w:p w14:paraId="5F361A20" w14:textId="77777777" w:rsidR="00406E20" w:rsidRDefault="00406E20" w:rsidP="00D632CA"/>
  </w:footnote>
  <w:footnote w:id="1">
    <w:p w14:paraId="569A73B3" w14:textId="2CCAF59D" w:rsidR="00BA3E74" w:rsidRPr="00BA3E74" w:rsidRDefault="00BA3E74">
      <w:pPr>
        <w:pStyle w:val="FootnoteText"/>
        <w:rPr>
          <w:lang w:val="en-CA"/>
        </w:rPr>
      </w:pPr>
      <w:r>
        <w:rPr>
          <w:rStyle w:val="FootnoteReference"/>
        </w:rPr>
        <w:footnoteRef/>
      </w:r>
      <w:r>
        <w:t xml:space="preserve"> </w:t>
      </w:r>
      <w:r>
        <w:rPr>
          <w:rFonts w:ascii="Calibri" w:hAnsi="Calibri" w:cs="Calibri"/>
          <w:color w:val="000000"/>
          <w:sz w:val="20"/>
          <w:szCs w:val="20"/>
          <w:lang w:val="en-CA"/>
        </w:rPr>
        <w:t xml:space="preserve">(Austen &amp; </w:t>
      </w:r>
      <w:proofErr w:type="spellStart"/>
      <w:r>
        <w:rPr>
          <w:rFonts w:ascii="Calibri" w:hAnsi="Calibri" w:cs="Calibri"/>
          <w:color w:val="000000"/>
          <w:sz w:val="20"/>
          <w:szCs w:val="20"/>
          <w:lang w:val="en-CA"/>
        </w:rPr>
        <w:t>Pauly</w:t>
      </w:r>
      <w:proofErr w:type="spellEnd"/>
      <w:r>
        <w:rPr>
          <w:rFonts w:ascii="Calibri" w:hAnsi="Calibri" w:cs="Calibri"/>
          <w:color w:val="000000"/>
          <w:sz w:val="20"/>
          <w:szCs w:val="20"/>
          <w:lang w:val="en-CA"/>
        </w:rPr>
        <w:t xml:space="preserve">, 2012; Baggett et al., 2013; BC Coroners Service, 2014; Davidson et al., 2014; Davis et al., 2012; Golden et al., 1999; Goodman, </w:t>
      </w:r>
      <w:proofErr w:type="spellStart"/>
      <w:r>
        <w:rPr>
          <w:rFonts w:ascii="Calibri" w:hAnsi="Calibri" w:cs="Calibri"/>
          <w:color w:val="000000"/>
          <w:sz w:val="20"/>
          <w:szCs w:val="20"/>
          <w:lang w:val="en-CA"/>
        </w:rPr>
        <w:t>Fels</w:t>
      </w:r>
      <w:proofErr w:type="spellEnd"/>
      <w:r>
        <w:rPr>
          <w:rFonts w:ascii="Calibri" w:hAnsi="Calibri" w:cs="Calibri"/>
          <w:color w:val="000000"/>
          <w:sz w:val="20"/>
          <w:szCs w:val="20"/>
          <w:lang w:val="en-CA"/>
        </w:rPr>
        <w:t xml:space="preserve">, &amp; Glenn, 2006; Holton, </w:t>
      </w:r>
      <w:proofErr w:type="spellStart"/>
      <w:r>
        <w:rPr>
          <w:rFonts w:ascii="Calibri" w:hAnsi="Calibri" w:cs="Calibri"/>
          <w:color w:val="000000"/>
          <w:sz w:val="20"/>
          <w:szCs w:val="20"/>
          <w:lang w:val="en-CA"/>
        </w:rPr>
        <w:t>Gogosis</w:t>
      </w:r>
      <w:proofErr w:type="spellEnd"/>
      <w:r>
        <w:rPr>
          <w:rFonts w:ascii="Calibri" w:hAnsi="Calibri" w:cs="Calibri"/>
          <w:color w:val="000000"/>
          <w:sz w:val="20"/>
          <w:szCs w:val="20"/>
          <w:lang w:val="en-CA"/>
        </w:rPr>
        <w:t xml:space="preserve">, &amp; Hwang, 2010; James Pratt Consulting, 2009; Paradis, </w:t>
      </w:r>
      <w:proofErr w:type="spellStart"/>
      <w:r>
        <w:rPr>
          <w:rFonts w:ascii="Calibri" w:hAnsi="Calibri" w:cs="Calibri"/>
          <w:color w:val="000000"/>
          <w:sz w:val="20"/>
          <w:szCs w:val="20"/>
          <w:lang w:val="en-CA"/>
        </w:rPr>
        <w:t>Novac</w:t>
      </w:r>
      <w:proofErr w:type="spellEnd"/>
      <w:r>
        <w:rPr>
          <w:rFonts w:ascii="Calibri" w:hAnsi="Calibri" w:cs="Calibri"/>
          <w:color w:val="000000"/>
          <w:sz w:val="20"/>
          <w:szCs w:val="20"/>
          <w:lang w:val="en-CA"/>
        </w:rPr>
        <w:t xml:space="preserve">, </w:t>
      </w:r>
      <w:proofErr w:type="spellStart"/>
      <w:r>
        <w:rPr>
          <w:rFonts w:ascii="Calibri" w:hAnsi="Calibri" w:cs="Calibri"/>
          <w:color w:val="000000"/>
          <w:sz w:val="20"/>
          <w:szCs w:val="20"/>
          <w:lang w:val="en-CA"/>
        </w:rPr>
        <w:t>Sarty</w:t>
      </w:r>
      <w:proofErr w:type="spellEnd"/>
      <w:r>
        <w:rPr>
          <w:rFonts w:ascii="Calibri" w:hAnsi="Calibri" w:cs="Calibri"/>
          <w:color w:val="000000"/>
          <w:sz w:val="20"/>
          <w:szCs w:val="20"/>
          <w:lang w:val="en-CA"/>
        </w:rPr>
        <w:t xml:space="preserve">, &amp; Migrant, 2009; B. M. </w:t>
      </w:r>
      <w:proofErr w:type="spellStart"/>
      <w:r>
        <w:rPr>
          <w:rFonts w:ascii="Calibri" w:hAnsi="Calibri" w:cs="Calibri"/>
          <w:color w:val="000000"/>
          <w:sz w:val="20"/>
          <w:szCs w:val="20"/>
          <w:lang w:val="en-CA"/>
        </w:rPr>
        <w:t>Pauly</w:t>
      </w:r>
      <w:proofErr w:type="spellEnd"/>
      <w:r>
        <w:rPr>
          <w:rFonts w:ascii="Calibri" w:hAnsi="Calibri" w:cs="Calibri"/>
          <w:color w:val="000000"/>
          <w:sz w:val="20"/>
          <w:szCs w:val="20"/>
          <w:lang w:val="en-CA"/>
        </w:rPr>
        <w:t xml:space="preserve">, 2005; Bernie </w:t>
      </w:r>
      <w:proofErr w:type="spellStart"/>
      <w:r>
        <w:rPr>
          <w:rFonts w:ascii="Calibri" w:hAnsi="Calibri" w:cs="Calibri"/>
          <w:color w:val="000000"/>
          <w:sz w:val="20"/>
          <w:szCs w:val="20"/>
          <w:lang w:val="en-CA"/>
        </w:rPr>
        <w:t>Pauly</w:t>
      </w:r>
      <w:proofErr w:type="spellEnd"/>
      <w:r>
        <w:rPr>
          <w:rFonts w:ascii="Calibri" w:hAnsi="Calibri" w:cs="Calibri"/>
          <w:color w:val="000000"/>
          <w:sz w:val="20"/>
          <w:szCs w:val="20"/>
          <w:lang w:val="en-CA"/>
        </w:rPr>
        <w:t xml:space="preserve"> et al., 2013; Sam Tsemberis, </w:t>
      </w:r>
      <w:proofErr w:type="spellStart"/>
      <w:r>
        <w:rPr>
          <w:rFonts w:ascii="Calibri" w:hAnsi="Calibri" w:cs="Calibri"/>
          <w:color w:val="000000"/>
          <w:sz w:val="20"/>
          <w:szCs w:val="20"/>
          <w:lang w:val="en-CA"/>
        </w:rPr>
        <w:t>Gulcur</w:t>
      </w:r>
      <w:proofErr w:type="spellEnd"/>
      <w:r>
        <w:rPr>
          <w:rFonts w:ascii="Calibri" w:hAnsi="Calibri" w:cs="Calibri"/>
          <w:color w:val="000000"/>
          <w:sz w:val="20"/>
          <w:szCs w:val="20"/>
          <w:lang w:val="en-CA"/>
        </w:rPr>
        <w:t xml:space="preserve">, &amp; </w:t>
      </w:r>
      <w:proofErr w:type="spellStart"/>
      <w:r>
        <w:rPr>
          <w:rFonts w:ascii="Calibri" w:hAnsi="Calibri" w:cs="Calibri"/>
          <w:color w:val="000000"/>
          <w:sz w:val="20"/>
          <w:szCs w:val="20"/>
          <w:lang w:val="en-CA"/>
        </w:rPr>
        <w:t>Nakae</w:t>
      </w:r>
      <w:proofErr w:type="spellEnd"/>
      <w:r>
        <w:rPr>
          <w:rFonts w:ascii="Calibri" w:hAnsi="Calibri" w:cs="Calibri"/>
          <w:color w:val="000000"/>
          <w:sz w:val="20"/>
          <w:szCs w:val="20"/>
          <w:lang w:val="en-CA"/>
        </w:rPr>
        <w:t xml:space="preserve">, 2004; </w:t>
      </w:r>
      <w:proofErr w:type="spellStart"/>
      <w:r>
        <w:rPr>
          <w:rFonts w:ascii="Calibri" w:hAnsi="Calibri" w:cs="Calibri"/>
          <w:color w:val="000000"/>
          <w:sz w:val="20"/>
          <w:szCs w:val="20"/>
          <w:lang w:val="en-CA"/>
        </w:rPr>
        <w:t>Tutty</w:t>
      </w:r>
      <w:proofErr w:type="spellEnd"/>
      <w:r>
        <w:rPr>
          <w:rFonts w:ascii="Calibri" w:hAnsi="Calibri" w:cs="Calibri"/>
          <w:color w:val="000000"/>
          <w:sz w:val="20"/>
          <w:szCs w:val="20"/>
          <w:lang w:val="en-CA"/>
        </w:rPr>
        <w:t xml:space="preserve">, Weaver, &amp; </w:t>
      </w:r>
      <w:proofErr w:type="spellStart"/>
      <w:r>
        <w:rPr>
          <w:rFonts w:ascii="Calibri" w:hAnsi="Calibri" w:cs="Calibri"/>
          <w:color w:val="000000"/>
          <w:sz w:val="20"/>
          <w:szCs w:val="20"/>
          <w:lang w:val="en-CA"/>
        </w:rPr>
        <w:t>Rothery</w:t>
      </w:r>
      <w:proofErr w:type="spellEnd"/>
      <w:r>
        <w:rPr>
          <w:rFonts w:ascii="Calibri" w:hAnsi="Calibri" w:cs="Calibri"/>
          <w:color w:val="000000"/>
          <w:sz w:val="20"/>
          <w:szCs w:val="20"/>
          <w:lang w:val="en-CA"/>
        </w:rPr>
        <w:t>, 1999; USICH, 2010; YWCA Canada, 2014)</w:t>
      </w:r>
    </w:p>
  </w:footnote>
  <w:footnote w:id="2">
    <w:p w14:paraId="255E9579" w14:textId="402DA346" w:rsidR="00BA3E74" w:rsidRPr="00BA3E74" w:rsidRDefault="00BA3E74">
      <w:pPr>
        <w:pStyle w:val="FootnoteText"/>
        <w:rPr>
          <w:lang w:val="en-CA"/>
        </w:rPr>
      </w:pPr>
      <w:r>
        <w:rPr>
          <w:rStyle w:val="FootnoteReference"/>
        </w:rPr>
        <w:footnoteRef/>
      </w:r>
      <w:r>
        <w:t xml:space="preserve"> </w:t>
      </w:r>
      <w:r>
        <w:rPr>
          <w:rFonts w:ascii="Calibri" w:hAnsi="Calibri" w:cs="Calibri"/>
          <w:color w:val="000000"/>
          <w:sz w:val="20"/>
          <w:szCs w:val="20"/>
          <w:lang w:val="en-CA"/>
        </w:rPr>
        <w:t xml:space="preserve">(Homelessness Task Team &amp; </w:t>
      </w:r>
      <w:proofErr w:type="spellStart"/>
      <w:r>
        <w:rPr>
          <w:rFonts w:ascii="Calibri" w:hAnsi="Calibri" w:cs="Calibri"/>
          <w:color w:val="000000"/>
          <w:sz w:val="20"/>
          <w:szCs w:val="20"/>
          <w:lang w:val="en-CA"/>
        </w:rPr>
        <w:t>Kooistra</w:t>
      </w:r>
      <w:proofErr w:type="spellEnd"/>
      <w:r>
        <w:rPr>
          <w:rFonts w:ascii="Calibri" w:hAnsi="Calibri" w:cs="Calibri"/>
          <w:color w:val="000000"/>
          <w:sz w:val="20"/>
          <w:szCs w:val="20"/>
          <w:lang w:val="en-CA"/>
        </w:rPr>
        <w:t>, 2014b)</w:t>
      </w:r>
    </w:p>
  </w:footnote>
  <w:footnote w:id="3">
    <w:p w14:paraId="46C593D1" w14:textId="77777777" w:rsidR="00BA3E74" w:rsidRPr="00BA3E74" w:rsidRDefault="00BA3E74" w:rsidP="00BA3E74">
      <w:pPr>
        <w:rPr>
          <w:lang w:val="en-CA"/>
        </w:rPr>
      </w:pPr>
      <w:r>
        <w:rPr>
          <w:rStyle w:val="FootnoteReference"/>
        </w:rPr>
        <w:footnoteRef/>
      </w:r>
      <w:r>
        <w:t xml:space="preserve"> </w:t>
      </w:r>
      <w:r>
        <w:rPr>
          <w:rFonts w:ascii="Calibri" w:hAnsi="Calibri" w:cs="Calibri"/>
          <w:color w:val="000000"/>
          <w:sz w:val="20"/>
          <w:szCs w:val="20"/>
          <w:lang w:val="en-CA"/>
        </w:rPr>
        <w:t xml:space="preserve">(Baker Collins, 2013; Davis et al., 2012; Elliott et al., 2005; Gates et al., 2013; Goering et al., 2014; Goodman et al., 2006; </w:t>
      </w:r>
      <w:proofErr w:type="spellStart"/>
      <w:r>
        <w:rPr>
          <w:rFonts w:ascii="Calibri" w:hAnsi="Calibri" w:cs="Calibri"/>
          <w:color w:val="000000"/>
          <w:sz w:val="20"/>
          <w:szCs w:val="20"/>
          <w:lang w:val="en-CA"/>
        </w:rPr>
        <w:t>Guarino</w:t>
      </w:r>
      <w:proofErr w:type="spellEnd"/>
      <w:r>
        <w:rPr>
          <w:rFonts w:ascii="Calibri" w:hAnsi="Calibri" w:cs="Calibri"/>
          <w:color w:val="000000"/>
          <w:sz w:val="20"/>
          <w:szCs w:val="20"/>
          <w:lang w:val="en-CA"/>
        </w:rPr>
        <w:t xml:space="preserve">, </w:t>
      </w:r>
      <w:proofErr w:type="spellStart"/>
      <w:r>
        <w:rPr>
          <w:rFonts w:ascii="Calibri" w:hAnsi="Calibri" w:cs="Calibri"/>
          <w:color w:val="000000"/>
          <w:sz w:val="20"/>
          <w:szCs w:val="20"/>
          <w:lang w:val="en-CA"/>
        </w:rPr>
        <w:t>Soares</w:t>
      </w:r>
      <w:proofErr w:type="spellEnd"/>
      <w:r>
        <w:rPr>
          <w:rFonts w:ascii="Calibri" w:hAnsi="Calibri" w:cs="Calibri"/>
          <w:color w:val="000000"/>
          <w:sz w:val="20"/>
          <w:szCs w:val="20"/>
          <w:lang w:val="en-CA"/>
        </w:rPr>
        <w:t xml:space="preserve">, </w:t>
      </w:r>
      <w:proofErr w:type="spellStart"/>
      <w:r>
        <w:rPr>
          <w:rFonts w:ascii="Calibri" w:hAnsi="Calibri" w:cs="Calibri"/>
          <w:color w:val="000000"/>
          <w:sz w:val="20"/>
          <w:szCs w:val="20"/>
          <w:lang w:val="en-CA"/>
        </w:rPr>
        <w:t>Konnath</w:t>
      </w:r>
      <w:proofErr w:type="spellEnd"/>
      <w:r>
        <w:rPr>
          <w:rFonts w:ascii="Calibri" w:hAnsi="Calibri" w:cs="Calibri"/>
          <w:color w:val="000000"/>
          <w:sz w:val="20"/>
          <w:szCs w:val="20"/>
          <w:lang w:val="en-CA"/>
        </w:rPr>
        <w:t xml:space="preserve">, </w:t>
      </w:r>
      <w:proofErr w:type="spellStart"/>
      <w:r>
        <w:rPr>
          <w:rFonts w:ascii="Calibri" w:hAnsi="Calibri" w:cs="Calibri"/>
          <w:color w:val="000000"/>
          <w:sz w:val="20"/>
          <w:szCs w:val="20"/>
          <w:lang w:val="en-CA"/>
        </w:rPr>
        <w:t>Clervil</w:t>
      </w:r>
      <w:proofErr w:type="spellEnd"/>
      <w:r>
        <w:rPr>
          <w:rFonts w:ascii="Calibri" w:hAnsi="Calibri" w:cs="Calibri"/>
          <w:color w:val="000000"/>
          <w:sz w:val="20"/>
          <w:szCs w:val="20"/>
          <w:lang w:val="en-CA"/>
        </w:rPr>
        <w:t xml:space="preserve">, &amp; </w:t>
      </w:r>
      <w:proofErr w:type="spellStart"/>
      <w:r>
        <w:rPr>
          <w:rFonts w:ascii="Calibri" w:hAnsi="Calibri" w:cs="Calibri"/>
          <w:color w:val="000000"/>
          <w:sz w:val="20"/>
          <w:szCs w:val="20"/>
          <w:lang w:val="en-CA"/>
        </w:rPr>
        <w:t>Bassuk</w:t>
      </w:r>
      <w:proofErr w:type="spellEnd"/>
      <w:r>
        <w:rPr>
          <w:rFonts w:ascii="Calibri" w:hAnsi="Calibri" w:cs="Calibri"/>
          <w:color w:val="000000"/>
          <w:sz w:val="20"/>
          <w:szCs w:val="20"/>
          <w:lang w:val="en-CA"/>
        </w:rPr>
        <w:t xml:space="preserve">, </w:t>
      </w:r>
      <w:proofErr w:type="spellStart"/>
      <w:r>
        <w:rPr>
          <w:rFonts w:ascii="Calibri" w:hAnsi="Calibri" w:cs="Calibri"/>
          <w:color w:val="000000"/>
          <w:sz w:val="20"/>
          <w:szCs w:val="20"/>
          <w:lang w:val="en-CA"/>
        </w:rPr>
        <w:t>n.d.</w:t>
      </w:r>
      <w:proofErr w:type="spellEnd"/>
      <w:r>
        <w:rPr>
          <w:rFonts w:ascii="Calibri" w:hAnsi="Calibri" w:cs="Calibri"/>
          <w:color w:val="000000"/>
          <w:sz w:val="20"/>
          <w:szCs w:val="20"/>
          <w:lang w:val="en-CA"/>
        </w:rPr>
        <w:t xml:space="preserve">; Hopper et al., 2010; Hwang, </w:t>
      </w:r>
      <w:proofErr w:type="spellStart"/>
      <w:r>
        <w:rPr>
          <w:rFonts w:ascii="Calibri" w:hAnsi="Calibri" w:cs="Calibri"/>
          <w:color w:val="000000"/>
          <w:sz w:val="20"/>
          <w:szCs w:val="20"/>
          <w:lang w:val="en-CA"/>
        </w:rPr>
        <w:t>Stergiopoulos</w:t>
      </w:r>
      <w:proofErr w:type="spellEnd"/>
      <w:r>
        <w:rPr>
          <w:rFonts w:ascii="Calibri" w:hAnsi="Calibri" w:cs="Calibri"/>
          <w:color w:val="000000"/>
          <w:sz w:val="20"/>
          <w:szCs w:val="20"/>
          <w:lang w:val="en-CA"/>
        </w:rPr>
        <w:t xml:space="preserve">, </w:t>
      </w:r>
      <w:proofErr w:type="spellStart"/>
      <w:r>
        <w:rPr>
          <w:rFonts w:ascii="Calibri" w:hAnsi="Calibri" w:cs="Calibri"/>
          <w:color w:val="000000"/>
          <w:sz w:val="20"/>
          <w:szCs w:val="20"/>
          <w:lang w:val="en-CA"/>
        </w:rPr>
        <w:t>O’Campo</w:t>
      </w:r>
      <w:proofErr w:type="spellEnd"/>
      <w:r>
        <w:rPr>
          <w:rFonts w:ascii="Calibri" w:hAnsi="Calibri" w:cs="Calibri"/>
          <w:color w:val="000000"/>
          <w:sz w:val="20"/>
          <w:szCs w:val="20"/>
          <w:lang w:val="en-CA"/>
        </w:rPr>
        <w:t xml:space="preserve">, &amp; </w:t>
      </w:r>
      <w:proofErr w:type="spellStart"/>
      <w:r>
        <w:rPr>
          <w:rFonts w:ascii="Calibri" w:hAnsi="Calibri" w:cs="Calibri"/>
          <w:color w:val="000000"/>
          <w:sz w:val="20"/>
          <w:szCs w:val="20"/>
          <w:lang w:val="en-CA"/>
        </w:rPr>
        <w:t>Gozdzik</w:t>
      </w:r>
      <w:proofErr w:type="spellEnd"/>
      <w:r>
        <w:rPr>
          <w:rFonts w:ascii="Calibri" w:hAnsi="Calibri" w:cs="Calibri"/>
          <w:color w:val="000000"/>
          <w:sz w:val="20"/>
          <w:szCs w:val="20"/>
          <w:lang w:val="en-CA"/>
        </w:rPr>
        <w:t xml:space="preserve">, 2012; Hwang et al., 2005; Jennings, 2008; Mental Health Commission of Canada, 2014a; </w:t>
      </w:r>
      <w:proofErr w:type="spellStart"/>
      <w:r>
        <w:rPr>
          <w:rFonts w:ascii="Calibri" w:hAnsi="Calibri" w:cs="Calibri"/>
          <w:color w:val="000000"/>
          <w:sz w:val="20"/>
          <w:szCs w:val="20"/>
          <w:lang w:val="en-CA"/>
        </w:rPr>
        <w:t>Najavits</w:t>
      </w:r>
      <w:proofErr w:type="spellEnd"/>
      <w:r>
        <w:rPr>
          <w:rFonts w:ascii="Calibri" w:hAnsi="Calibri" w:cs="Calibri"/>
          <w:color w:val="000000"/>
          <w:sz w:val="20"/>
          <w:szCs w:val="20"/>
          <w:lang w:val="en-CA"/>
        </w:rPr>
        <w:t xml:space="preserve"> &amp; Hien, 2013; National Alliance to End Homelessness, 2012).</w:t>
      </w:r>
    </w:p>
    <w:p w14:paraId="2551636B" w14:textId="7C38E36B" w:rsidR="00BA3E74" w:rsidRPr="00BA3E74" w:rsidRDefault="00BA3E74">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EC9" w14:textId="77777777"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F368B"/>
    <w:multiLevelType w:val="hybridMultilevel"/>
    <w:tmpl w:val="44B8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D3389F"/>
    <w:multiLevelType w:val="hybridMultilevel"/>
    <w:tmpl w:val="DE38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85BF9"/>
    <w:multiLevelType w:val="hybridMultilevel"/>
    <w:tmpl w:val="5A5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94FFC"/>
    <w:multiLevelType w:val="multilevel"/>
    <w:tmpl w:val="80F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3B7897"/>
    <w:multiLevelType w:val="multilevel"/>
    <w:tmpl w:val="2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F74ED"/>
    <w:multiLevelType w:val="hybridMultilevel"/>
    <w:tmpl w:val="032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C61E4"/>
    <w:multiLevelType w:val="hybridMultilevel"/>
    <w:tmpl w:val="5EB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1A790B"/>
    <w:multiLevelType w:val="hybridMultilevel"/>
    <w:tmpl w:val="DDA8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E0867"/>
    <w:multiLevelType w:val="hybridMultilevel"/>
    <w:tmpl w:val="0C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641F9"/>
    <w:multiLevelType w:val="multilevel"/>
    <w:tmpl w:val="60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8D758A"/>
    <w:multiLevelType w:val="multilevel"/>
    <w:tmpl w:val="ED3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2"/>
  </w:num>
  <w:num w:numId="16">
    <w:abstractNumId w:val="14"/>
  </w:num>
  <w:num w:numId="17">
    <w:abstractNumId w:val="18"/>
  </w:num>
  <w:num w:numId="18">
    <w:abstractNumId w:val="10"/>
  </w:num>
  <w:num w:numId="19">
    <w:abstractNumId w:val="37"/>
  </w:num>
  <w:num w:numId="20">
    <w:abstractNumId w:val="40"/>
  </w:num>
  <w:num w:numId="21">
    <w:abstractNumId w:val="24"/>
  </w:num>
  <w:num w:numId="22">
    <w:abstractNumId w:val="17"/>
  </w:num>
  <w:num w:numId="23">
    <w:abstractNumId w:val="27"/>
  </w:num>
  <w:num w:numId="24">
    <w:abstractNumId w:val="13"/>
  </w:num>
  <w:num w:numId="25">
    <w:abstractNumId w:val="32"/>
  </w:num>
  <w:num w:numId="26">
    <w:abstractNumId w:val="34"/>
  </w:num>
  <w:num w:numId="27">
    <w:abstractNumId w:val="35"/>
  </w:num>
  <w:num w:numId="28">
    <w:abstractNumId w:val="15"/>
  </w:num>
  <w:num w:numId="29">
    <w:abstractNumId w:val="36"/>
  </w:num>
  <w:num w:numId="30">
    <w:abstractNumId w:val="28"/>
  </w:num>
  <w:num w:numId="31">
    <w:abstractNumId w:val="11"/>
  </w:num>
  <w:num w:numId="32">
    <w:abstractNumId w:val="33"/>
  </w:num>
  <w:num w:numId="33">
    <w:abstractNumId w:val="25"/>
  </w:num>
  <w:num w:numId="34">
    <w:abstractNumId w:val="19"/>
  </w:num>
  <w:num w:numId="35">
    <w:abstractNumId w:val="29"/>
  </w:num>
  <w:num w:numId="36">
    <w:abstractNumId w:val="26"/>
  </w:num>
  <w:num w:numId="37">
    <w:abstractNumId w:val="23"/>
  </w:num>
  <w:num w:numId="38">
    <w:abstractNumId w:val="38"/>
  </w:num>
  <w:num w:numId="39">
    <w:abstractNumId w:val="21"/>
  </w:num>
  <w:num w:numId="40">
    <w:abstractNumId w:val="39"/>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61A"/>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19D"/>
    <w:rsid w:val="003F0250"/>
    <w:rsid w:val="003F02B2"/>
    <w:rsid w:val="003F0577"/>
    <w:rsid w:val="003F0589"/>
    <w:rsid w:val="003F07F3"/>
    <w:rsid w:val="003F081F"/>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6E20"/>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14"/>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94E"/>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DEC"/>
    <w:rsid w:val="00630E08"/>
    <w:rsid w:val="00630ECA"/>
    <w:rsid w:val="0063115D"/>
    <w:rsid w:val="0063135B"/>
    <w:rsid w:val="00631614"/>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319"/>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86C"/>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326"/>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66F"/>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74"/>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BFE"/>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67"/>
    <w:rsid w:val="00D144CE"/>
    <w:rsid w:val="00D14527"/>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47B"/>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861"/>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BDC"/>
    <w:rsid w:val="00EB3CAC"/>
    <w:rsid w:val="00EB3CEA"/>
    <w:rsid w:val="00EB3DBE"/>
    <w:rsid w:val="00EB3F24"/>
    <w:rsid w:val="00EB3F73"/>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C7E"/>
    <w:rsid w:val="00F26E5A"/>
    <w:rsid w:val="00F26ED0"/>
    <w:rsid w:val="00F27047"/>
    <w:rsid w:val="00F2710C"/>
    <w:rsid w:val="00F271D3"/>
    <w:rsid w:val="00F2720D"/>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0FCC"/>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F6C1-D5F3-4851-B586-DCC157CE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17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Amy Fisher</cp:lastModifiedBy>
  <cp:revision>6</cp:revision>
  <cp:lastPrinted>2015-06-18T19:02:00Z</cp:lastPrinted>
  <dcterms:created xsi:type="dcterms:W3CDTF">2017-11-09T15:18:00Z</dcterms:created>
  <dcterms:modified xsi:type="dcterms:W3CDTF">2019-02-01T20:04:00Z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